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CBAA8" w14:textId="6A04694B" w:rsidR="006E0736" w:rsidRDefault="00322946" w:rsidP="00063709">
      <w:pPr>
        <w:pStyle w:val="CPRE-TitleCopyStyle"/>
        <w:ind w:left="0"/>
        <w:rPr>
          <w:rFonts w:cstheme="minorHAnsi"/>
          <w:color w:val="70AD47" w:themeColor="accent6"/>
        </w:rPr>
      </w:pPr>
      <w:r w:rsidRPr="00CF57A6">
        <w:rPr>
          <w:rFonts w:cstheme="minorHAnsi"/>
          <w:color w:val="70AD47" w:themeColor="accent6"/>
        </w:rPr>
        <w:t>Objection to</w:t>
      </w:r>
      <w:r w:rsidR="00BF77F3" w:rsidRPr="00CF57A6">
        <w:rPr>
          <w:rFonts w:cstheme="minorHAnsi"/>
          <w:color w:val="70AD47" w:themeColor="accent6"/>
        </w:rPr>
        <w:t xml:space="preserve"> </w:t>
      </w:r>
      <w:r w:rsidR="006E0736">
        <w:rPr>
          <w:rFonts w:cstheme="minorHAnsi"/>
          <w:color w:val="70AD47" w:themeColor="accent6"/>
        </w:rPr>
        <w:t xml:space="preserve">the Erewash Borough Council Core Strategy Review Amendment </w:t>
      </w:r>
    </w:p>
    <w:p w14:paraId="37A964A1" w14:textId="77777777" w:rsidR="006E0736" w:rsidRDefault="006E0736" w:rsidP="009A4496">
      <w:pPr>
        <w:pStyle w:val="CPRE-TitleCopyStyle"/>
        <w:ind w:left="0"/>
        <w:rPr>
          <w:color w:val="70AD47" w:themeColor="accent6"/>
          <w:sz w:val="44"/>
          <w:szCs w:val="44"/>
          <w:lang w:val="en-US"/>
        </w:rPr>
      </w:pPr>
      <w:r w:rsidRPr="00063709">
        <w:rPr>
          <w:color w:val="70AD47" w:themeColor="accent6"/>
          <w:sz w:val="44"/>
          <w:szCs w:val="44"/>
          <w:lang w:val="en-US"/>
        </w:rPr>
        <w:t>New Allocations</w:t>
      </w:r>
    </w:p>
    <w:p w14:paraId="719F797D" w14:textId="77777777" w:rsidR="006E0736" w:rsidRDefault="006E0736" w:rsidP="009A4496">
      <w:pPr>
        <w:pStyle w:val="CPRE-TitleCopyStyle"/>
        <w:ind w:left="0"/>
        <w:rPr>
          <w:color w:val="70AD47" w:themeColor="accent6"/>
          <w:sz w:val="36"/>
          <w:szCs w:val="36"/>
          <w:lang w:val="en-US"/>
        </w:rPr>
      </w:pPr>
      <w:r w:rsidRPr="00FA2907">
        <w:rPr>
          <w:color w:val="70AD47" w:themeColor="accent6"/>
          <w:sz w:val="36"/>
          <w:szCs w:val="36"/>
          <w:lang w:val="en-US"/>
        </w:rPr>
        <w:t>North of Breadsall Hill Top</w:t>
      </w:r>
    </w:p>
    <w:p w14:paraId="4AE3974F" w14:textId="77777777" w:rsidR="0038791B" w:rsidRPr="00C00730" w:rsidRDefault="0038791B" w:rsidP="0038791B">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C00730">
        <w:rPr>
          <w:rStyle w:val="Strong"/>
          <w:rFonts w:asciiTheme="minorHAnsi" w:hAnsiTheme="minorHAnsi" w:cstheme="minorHAnsi"/>
          <w:b w:val="0"/>
          <w:bCs w:val="0"/>
          <w:color w:val="333333"/>
        </w:rPr>
        <w:t>Strategic Policy 1.8 – North of Breadsall Hilltop</w:t>
      </w:r>
    </w:p>
    <w:p w14:paraId="183089BE" w14:textId="77777777" w:rsidR="0038791B" w:rsidRPr="00507507" w:rsidRDefault="0038791B" w:rsidP="0038791B">
      <w:pPr>
        <w:pStyle w:val="NormalWeb"/>
        <w:shd w:val="clear" w:color="auto" w:fill="FFFFFF"/>
        <w:spacing w:before="0" w:beforeAutospacing="0" w:after="0" w:afterAutospacing="0"/>
        <w:rPr>
          <w:rFonts w:ascii="Lato" w:hAnsi="Lato"/>
          <w:b/>
          <w:bCs/>
          <w:color w:val="333333"/>
          <w:sz w:val="20"/>
          <w:szCs w:val="20"/>
        </w:rPr>
      </w:pPr>
      <w:r w:rsidRPr="00C00730">
        <w:rPr>
          <w:rStyle w:val="Strong"/>
          <w:rFonts w:asciiTheme="minorHAnsi" w:hAnsiTheme="minorHAnsi" w:cstheme="minorHAnsi"/>
          <w:b w:val="0"/>
          <w:bCs w:val="0"/>
          <w:color w:val="333333"/>
        </w:rPr>
        <w:t>Land at North of Breadsall Hilltop as shown on the policies map is allocated for residential development of around 160 homes across 8.2 hectares of land. The development will form an extension to the Oakwood neighbourhood which forms part of the Derby conurbation</w:t>
      </w:r>
      <w:r w:rsidRPr="00507507">
        <w:rPr>
          <w:rStyle w:val="Strong"/>
          <w:rFonts w:ascii="Arial" w:hAnsi="Arial" w:cs="Arial"/>
          <w:b w:val="0"/>
          <w:bCs w:val="0"/>
          <w:color w:val="333333"/>
        </w:rPr>
        <w:t>.</w:t>
      </w:r>
    </w:p>
    <w:p w14:paraId="03F9C93E" w14:textId="77777777" w:rsidR="006E0736" w:rsidRDefault="006E0736" w:rsidP="009A4496">
      <w:pPr>
        <w:pStyle w:val="CPRE-TitleCopyStyle"/>
        <w:ind w:left="0"/>
        <w:rPr>
          <w:color w:val="70AD47" w:themeColor="accent6"/>
          <w:sz w:val="36"/>
          <w:szCs w:val="36"/>
          <w:lang w:val="en-US"/>
        </w:rPr>
      </w:pPr>
      <w:r w:rsidRPr="00FA2907">
        <w:rPr>
          <w:color w:val="70AD47" w:themeColor="accent6"/>
          <w:sz w:val="36"/>
          <w:szCs w:val="36"/>
          <w:lang w:val="en-US"/>
        </w:rPr>
        <w:t>East of Breaston</w:t>
      </w:r>
    </w:p>
    <w:p w14:paraId="1264383C" w14:textId="77777777" w:rsidR="00E31004" w:rsidRPr="00C00730" w:rsidRDefault="00E31004" w:rsidP="00E31004">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C00730">
        <w:rPr>
          <w:rStyle w:val="Strong"/>
          <w:rFonts w:asciiTheme="minorHAnsi" w:hAnsiTheme="minorHAnsi" w:cstheme="minorHAnsi"/>
          <w:b w:val="0"/>
          <w:bCs w:val="0"/>
          <w:color w:val="333333"/>
        </w:rPr>
        <w:t>Strategic Policy 1.13 – East of Breaston</w:t>
      </w:r>
    </w:p>
    <w:p w14:paraId="29CE120A" w14:textId="77777777" w:rsidR="00E31004" w:rsidRPr="00C00730" w:rsidRDefault="00E31004" w:rsidP="00E31004">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C00730">
        <w:rPr>
          <w:rStyle w:val="Strong"/>
          <w:rFonts w:asciiTheme="minorHAnsi" w:hAnsiTheme="minorHAnsi" w:cstheme="minorHAnsi"/>
          <w:b w:val="0"/>
          <w:bCs w:val="0"/>
          <w:color w:val="333333"/>
        </w:rPr>
        <w:t>Land East of Breaston to the north of Heath Gardens as shown on the policies map is allocated for residential development of around 50 homes across 2.6 hectares of land. The development will form an extension to the key settlement of Breaston.</w:t>
      </w:r>
    </w:p>
    <w:p w14:paraId="12996E46" w14:textId="77777777" w:rsidR="006E0736" w:rsidRDefault="006E0736" w:rsidP="009A4496">
      <w:pPr>
        <w:pStyle w:val="CPRE-TitleCopyStyle"/>
        <w:ind w:left="0"/>
        <w:rPr>
          <w:color w:val="70AD47" w:themeColor="accent6"/>
          <w:sz w:val="36"/>
          <w:szCs w:val="36"/>
          <w:lang w:val="en-US"/>
        </w:rPr>
      </w:pPr>
      <w:r w:rsidRPr="00FA2907">
        <w:rPr>
          <w:color w:val="70AD47" w:themeColor="accent6"/>
          <w:sz w:val="36"/>
          <w:szCs w:val="36"/>
          <w:lang w:val="en-US"/>
        </w:rPr>
        <w:t>North of Borrowash</w:t>
      </w:r>
    </w:p>
    <w:p w14:paraId="5E57B248" w14:textId="77777777" w:rsidR="00DB3708" w:rsidRPr="00C00730" w:rsidRDefault="00DB3708" w:rsidP="00DB3708">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C00730">
        <w:rPr>
          <w:rStyle w:val="Strong"/>
          <w:rFonts w:asciiTheme="minorHAnsi" w:hAnsiTheme="minorHAnsi" w:cstheme="minorHAnsi"/>
          <w:b w:val="0"/>
          <w:bCs w:val="0"/>
          <w:color w:val="333333"/>
        </w:rPr>
        <w:t>Strategic Policy 1.11 – North of Borrowash</w:t>
      </w:r>
    </w:p>
    <w:p w14:paraId="655F7003" w14:textId="77777777" w:rsidR="00DB3708" w:rsidRPr="00507507" w:rsidRDefault="00DB3708" w:rsidP="00DB3708">
      <w:pPr>
        <w:pStyle w:val="NormalWeb"/>
        <w:shd w:val="clear" w:color="auto" w:fill="FFFFFF"/>
        <w:spacing w:before="0" w:beforeAutospacing="0" w:after="0" w:afterAutospacing="0"/>
        <w:rPr>
          <w:rFonts w:ascii="Lato" w:hAnsi="Lato"/>
          <w:b/>
          <w:bCs/>
          <w:color w:val="333333"/>
          <w:sz w:val="20"/>
          <w:szCs w:val="20"/>
        </w:rPr>
      </w:pPr>
      <w:r w:rsidRPr="00C00730">
        <w:rPr>
          <w:rStyle w:val="Strong"/>
          <w:rFonts w:asciiTheme="minorHAnsi" w:hAnsiTheme="minorHAnsi" w:cstheme="minorHAnsi"/>
          <w:b w:val="0"/>
          <w:bCs w:val="0"/>
          <w:color w:val="333333"/>
        </w:rPr>
        <w:t>Land North of Borrowash located to the west of Cole Lane as shown on the policies map is allocated for residential development of around 60 homes across 2 hectares of land. The development will form an extension to the key settlement of Borrowash</w:t>
      </w:r>
      <w:r w:rsidRPr="00507507">
        <w:rPr>
          <w:rStyle w:val="Strong"/>
          <w:rFonts w:ascii="Arial" w:hAnsi="Arial" w:cs="Arial"/>
          <w:b w:val="0"/>
          <w:bCs w:val="0"/>
          <w:color w:val="333333"/>
        </w:rPr>
        <w:t>.</w:t>
      </w:r>
    </w:p>
    <w:p w14:paraId="5EF6B462" w14:textId="77777777" w:rsidR="006E0736" w:rsidRDefault="006E0736" w:rsidP="009A4496">
      <w:pPr>
        <w:pStyle w:val="CPRE-TitleCopyStyle"/>
        <w:ind w:left="0"/>
        <w:rPr>
          <w:color w:val="70AD47" w:themeColor="accent6"/>
          <w:sz w:val="36"/>
          <w:szCs w:val="36"/>
          <w:lang w:val="en-US"/>
        </w:rPr>
      </w:pPr>
      <w:r w:rsidRPr="00FA2907">
        <w:rPr>
          <w:color w:val="70AD47" w:themeColor="accent6"/>
          <w:sz w:val="36"/>
          <w:szCs w:val="36"/>
          <w:lang w:val="en-US"/>
        </w:rPr>
        <w:t>West of Borrowash</w:t>
      </w:r>
    </w:p>
    <w:p w14:paraId="6E1AC201" w14:textId="77777777" w:rsidR="003F4F80" w:rsidRPr="00C00730" w:rsidRDefault="003F4F80" w:rsidP="003F4F80">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C00730">
        <w:rPr>
          <w:rStyle w:val="Strong"/>
          <w:rFonts w:asciiTheme="minorHAnsi" w:hAnsiTheme="minorHAnsi" w:cstheme="minorHAnsi"/>
          <w:b w:val="0"/>
          <w:bCs w:val="0"/>
          <w:color w:val="333333"/>
        </w:rPr>
        <w:t>Strategic Policy 1.12 – West of Borrowash</w:t>
      </w:r>
    </w:p>
    <w:p w14:paraId="13919435" w14:textId="77777777" w:rsidR="003F4F80" w:rsidRPr="00C00730" w:rsidRDefault="003F4F80" w:rsidP="003F4F80">
      <w:pPr>
        <w:pStyle w:val="NormalWeb"/>
        <w:shd w:val="clear" w:color="auto" w:fill="FFFFFF"/>
        <w:spacing w:before="0" w:beforeAutospacing="0" w:after="0" w:afterAutospacing="0"/>
        <w:rPr>
          <w:rFonts w:asciiTheme="minorHAnsi" w:hAnsiTheme="minorHAnsi" w:cstheme="minorHAnsi"/>
          <w:color w:val="333333"/>
          <w:sz w:val="20"/>
          <w:szCs w:val="20"/>
        </w:rPr>
      </w:pPr>
      <w:r w:rsidRPr="00C00730">
        <w:rPr>
          <w:rStyle w:val="Strong"/>
          <w:rFonts w:asciiTheme="minorHAnsi" w:hAnsiTheme="minorHAnsi" w:cstheme="minorHAnsi"/>
          <w:b w:val="0"/>
          <w:bCs w:val="0"/>
          <w:color w:val="333333"/>
        </w:rPr>
        <w:t>Land at West of Borrowash as shown on the policies map is allocated for residential development of around 280 homes across 14 hectares of land. The development will form an extension to the key settlement of Borrowash</w:t>
      </w:r>
      <w:r w:rsidRPr="00C00730">
        <w:rPr>
          <w:rStyle w:val="Strong"/>
          <w:rFonts w:asciiTheme="minorHAnsi" w:hAnsiTheme="minorHAnsi" w:cstheme="minorHAnsi"/>
          <w:color w:val="333333"/>
        </w:rPr>
        <w:t>.</w:t>
      </w:r>
    </w:p>
    <w:p w14:paraId="5652DE2B" w14:textId="77777777" w:rsidR="006E0736" w:rsidRDefault="006E0736" w:rsidP="009A4496">
      <w:pPr>
        <w:pStyle w:val="CPRE-TitleCopyStyle"/>
        <w:ind w:left="0"/>
        <w:rPr>
          <w:color w:val="70AD47" w:themeColor="accent6"/>
          <w:sz w:val="36"/>
          <w:szCs w:val="36"/>
          <w:lang w:val="en-US"/>
        </w:rPr>
      </w:pPr>
      <w:r w:rsidRPr="00FA2907">
        <w:rPr>
          <w:color w:val="70AD47" w:themeColor="accent6"/>
          <w:sz w:val="36"/>
          <w:szCs w:val="36"/>
          <w:lang w:val="en-US"/>
        </w:rPr>
        <w:t>South West of Draycott</w:t>
      </w:r>
    </w:p>
    <w:p w14:paraId="5BC76EBC" w14:textId="77777777" w:rsidR="00BE07F0" w:rsidRPr="00C00730" w:rsidRDefault="00BE07F0" w:rsidP="00BE07F0">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C00730">
        <w:rPr>
          <w:rStyle w:val="Strong"/>
          <w:rFonts w:asciiTheme="minorHAnsi" w:hAnsiTheme="minorHAnsi" w:cstheme="minorHAnsi"/>
          <w:b w:val="0"/>
          <w:bCs w:val="0"/>
          <w:color w:val="333333"/>
        </w:rPr>
        <w:t>Strategic Policy 1.14 – South-West of Draycott</w:t>
      </w:r>
    </w:p>
    <w:p w14:paraId="0CF01923" w14:textId="77777777" w:rsidR="00BE07F0" w:rsidRPr="00C00730" w:rsidRDefault="00BE07F0" w:rsidP="00BE07F0">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C00730">
        <w:rPr>
          <w:rStyle w:val="Strong"/>
          <w:rFonts w:asciiTheme="minorHAnsi" w:hAnsiTheme="minorHAnsi" w:cstheme="minorHAnsi"/>
          <w:b w:val="0"/>
          <w:bCs w:val="0"/>
          <w:color w:val="333333"/>
        </w:rPr>
        <w:t>Land at South-West of Draycott as shown on the policies map is allocated for residential development of around 190 homes across 8.3 hectares of land. The development will form an extension to the key settlement of Draycott.</w:t>
      </w:r>
    </w:p>
    <w:p w14:paraId="1D42E083" w14:textId="07BC2131" w:rsidR="006E0736" w:rsidRDefault="006E0736" w:rsidP="009A4496">
      <w:pPr>
        <w:pStyle w:val="CPRE-TitleCopyStyle"/>
        <w:ind w:left="0"/>
        <w:rPr>
          <w:color w:val="70AD47" w:themeColor="accent6"/>
          <w:sz w:val="36"/>
          <w:szCs w:val="36"/>
          <w:lang w:val="en-US"/>
        </w:rPr>
      </w:pPr>
      <w:r w:rsidRPr="00FA2907">
        <w:rPr>
          <w:color w:val="70AD47" w:themeColor="accent6"/>
          <w:sz w:val="36"/>
          <w:szCs w:val="36"/>
          <w:lang w:val="en-US"/>
        </w:rPr>
        <w:t>West of Sandiacre</w:t>
      </w:r>
    </w:p>
    <w:p w14:paraId="07943411" w14:textId="77777777" w:rsidR="00F83B13" w:rsidRPr="00C00730" w:rsidRDefault="00F83B13" w:rsidP="00F83B13">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C00730">
        <w:rPr>
          <w:rStyle w:val="Strong"/>
          <w:rFonts w:asciiTheme="minorHAnsi" w:hAnsiTheme="minorHAnsi" w:cstheme="minorHAnsi"/>
          <w:b w:val="0"/>
          <w:bCs w:val="0"/>
          <w:color w:val="333333"/>
        </w:rPr>
        <w:t>Strategic Policy 1.7 – West of Sandiacre</w:t>
      </w:r>
    </w:p>
    <w:p w14:paraId="5B9E346F" w14:textId="77777777" w:rsidR="00F83B13" w:rsidRPr="00507507" w:rsidRDefault="00F83B13" w:rsidP="00F83B13">
      <w:pPr>
        <w:pStyle w:val="NormalWeb"/>
        <w:shd w:val="clear" w:color="auto" w:fill="FFFFFF"/>
        <w:spacing w:before="0" w:beforeAutospacing="0" w:after="0" w:afterAutospacing="0"/>
        <w:rPr>
          <w:rFonts w:ascii="Lato" w:hAnsi="Lato"/>
          <w:b/>
          <w:bCs/>
          <w:color w:val="333333"/>
          <w:sz w:val="20"/>
          <w:szCs w:val="20"/>
        </w:rPr>
      </w:pPr>
      <w:r w:rsidRPr="00C00730">
        <w:rPr>
          <w:rStyle w:val="Strong"/>
          <w:rFonts w:asciiTheme="minorHAnsi" w:hAnsiTheme="minorHAnsi" w:cstheme="minorHAnsi"/>
          <w:b w:val="0"/>
          <w:bCs w:val="0"/>
          <w:color w:val="333333"/>
        </w:rPr>
        <w:t>Land west of Sandiacre at Cloudside as shown on the policies map is allocated for residential development of around 180 homes across 4.8 hectares of land. The development will form an extension to the Long Eaton urban area, which itself forms part of the Nottingham conurbation</w:t>
      </w:r>
      <w:r w:rsidRPr="00507507">
        <w:rPr>
          <w:rStyle w:val="Strong"/>
          <w:rFonts w:ascii="Arial" w:hAnsi="Arial" w:cs="Arial"/>
          <w:b w:val="0"/>
          <w:bCs w:val="0"/>
          <w:color w:val="333333"/>
        </w:rPr>
        <w:t>.</w:t>
      </w:r>
    </w:p>
    <w:p w14:paraId="01DAB48C" w14:textId="75532EEC" w:rsidR="006E0736" w:rsidRDefault="006E0736" w:rsidP="009A4496">
      <w:pPr>
        <w:pStyle w:val="CPRE-TitleCopyStyle"/>
        <w:ind w:left="0"/>
        <w:rPr>
          <w:color w:val="70AD47" w:themeColor="accent6"/>
          <w:sz w:val="36"/>
          <w:szCs w:val="36"/>
          <w:lang w:val="en-US"/>
        </w:rPr>
      </w:pPr>
      <w:r w:rsidRPr="00FA2907">
        <w:rPr>
          <w:color w:val="70AD47" w:themeColor="accent6"/>
          <w:sz w:val="36"/>
          <w:szCs w:val="36"/>
          <w:lang w:val="en-US"/>
        </w:rPr>
        <w:t>North of West Hallam</w:t>
      </w:r>
    </w:p>
    <w:p w14:paraId="29D13A24" w14:textId="77777777" w:rsidR="00EB16B7" w:rsidRPr="00C00730" w:rsidRDefault="00EB16B7" w:rsidP="00EB16B7">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C00730">
        <w:rPr>
          <w:rStyle w:val="Strong"/>
          <w:rFonts w:asciiTheme="minorHAnsi" w:hAnsiTheme="minorHAnsi" w:cstheme="minorHAnsi"/>
          <w:b w:val="0"/>
          <w:bCs w:val="0"/>
          <w:color w:val="333333"/>
        </w:rPr>
        <w:t>Strategic Policy 1.10 – North of West Hallam</w:t>
      </w:r>
    </w:p>
    <w:p w14:paraId="5AB04E5E" w14:textId="77777777" w:rsidR="00EB16B7" w:rsidRPr="00C00730" w:rsidRDefault="00EB16B7" w:rsidP="00EB16B7">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C00730">
        <w:rPr>
          <w:rStyle w:val="Strong"/>
          <w:rFonts w:asciiTheme="minorHAnsi" w:hAnsiTheme="minorHAnsi" w:cstheme="minorHAnsi"/>
          <w:b w:val="0"/>
          <w:bCs w:val="0"/>
          <w:color w:val="333333"/>
        </w:rPr>
        <w:t>Land North of West Hallam to the north of High Lane West as shown on the policies map is allocated for residential development of around 35 homes across 1.6 hectares of land. The development will form an extension to the key settlement of West Hallam.</w:t>
      </w:r>
    </w:p>
    <w:p w14:paraId="2432BEDB" w14:textId="77777777" w:rsidR="00F83B13" w:rsidRPr="00EB16B7" w:rsidRDefault="00F83B13" w:rsidP="009A4496">
      <w:pPr>
        <w:pStyle w:val="CPRE-TitleCopyStyle"/>
        <w:ind w:left="0"/>
        <w:rPr>
          <w:color w:val="70AD47" w:themeColor="accent6"/>
          <w:sz w:val="36"/>
          <w:szCs w:val="36"/>
        </w:rPr>
      </w:pPr>
    </w:p>
    <w:p w14:paraId="3AD5492F" w14:textId="77777777" w:rsidR="001608CC" w:rsidRDefault="001608CC" w:rsidP="009A4496">
      <w:pPr>
        <w:pStyle w:val="CPRE-TitleCopyStyle"/>
        <w:ind w:left="0"/>
        <w:rPr>
          <w:color w:val="70AD47" w:themeColor="accent6"/>
          <w:sz w:val="36"/>
          <w:szCs w:val="36"/>
          <w:lang w:val="en-US"/>
        </w:rPr>
      </w:pPr>
    </w:p>
    <w:p w14:paraId="7F0CFB97" w14:textId="1D5757F0" w:rsidR="006E0736" w:rsidRDefault="006E0736" w:rsidP="009A4496">
      <w:pPr>
        <w:pStyle w:val="CPRE-TitleCopyStyle"/>
        <w:ind w:left="0"/>
        <w:rPr>
          <w:color w:val="70AD47" w:themeColor="accent6"/>
          <w:sz w:val="36"/>
          <w:szCs w:val="36"/>
          <w:lang w:val="en-US"/>
        </w:rPr>
      </w:pPr>
      <w:r w:rsidRPr="00FA2907">
        <w:rPr>
          <w:color w:val="70AD47" w:themeColor="accent6"/>
          <w:sz w:val="36"/>
          <w:szCs w:val="36"/>
          <w:lang w:val="en-US"/>
        </w:rPr>
        <w:t>South of West Hallam</w:t>
      </w:r>
    </w:p>
    <w:p w14:paraId="27A55328" w14:textId="77777777" w:rsidR="004E40BA" w:rsidRPr="000E479F" w:rsidRDefault="004E40BA" w:rsidP="004E40BA">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0E479F">
        <w:rPr>
          <w:rStyle w:val="Strong"/>
          <w:rFonts w:asciiTheme="minorHAnsi" w:hAnsiTheme="minorHAnsi" w:cstheme="minorHAnsi"/>
          <w:b w:val="0"/>
          <w:bCs w:val="0"/>
          <w:color w:val="333333"/>
        </w:rPr>
        <w:t>Strategic Policy 1.9 – South of West Hallam</w:t>
      </w:r>
    </w:p>
    <w:p w14:paraId="0C73DB68" w14:textId="77777777" w:rsidR="004E40BA" w:rsidRPr="000E479F" w:rsidRDefault="004E40BA" w:rsidP="004E40BA">
      <w:pPr>
        <w:pStyle w:val="NormalWeb"/>
        <w:shd w:val="clear" w:color="auto" w:fill="FFFFFF"/>
        <w:spacing w:before="0" w:beforeAutospacing="0" w:after="0" w:afterAutospacing="0"/>
        <w:rPr>
          <w:rStyle w:val="Strong"/>
          <w:rFonts w:asciiTheme="minorHAnsi" w:hAnsiTheme="minorHAnsi" w:cstheme="minorHAnsi"/>
          <w:b w:val="0"/>
          <w:bCs w:val="0"/>
          <w:color w:val="333333"/>
        </w:rPr>
      </w:pPr>
      <w:r w:rsidRPr="000E479F">
        <w:rPr>
          <w:rStyle w:val="Strong"/>
          <w:rFonts w:asciiTheme="minorHAnsi" w:hAnsiTheme="minorHAnsi" w:cstheme="minorHAnsi"/>
          <w:b w:val="0"/>
          <w:bCs w:val="0"/>
          <w:color w:val="333333"/>
        </w:rPr>
        <w:t>Land South of West Hallam to the south of Beech Lane as shown on the policies map is allocated for residential development of around 90 homes across 3.9 hectares of land. The development will form an extension to the key settlement of West Hallam.</w:t>
      </w:r>
    </w:p>
    <w:p w14:paraId="2FC97C89" w14:textId="77777777" w:rsidR="00B73B77" w:rsidRPr="000E479F" w:rsidRDefault="00B73B77" w:rsidP="004E40BA">
      <w:pPr>
        <w:pStyle w:val="NormalWeb"/>
        <w:shd w:val="clear" w:color="auto" w:fill="FFFFFF"/>
        <w:spacing w:before="0" w:beforeAutospacing="0" w:after="0" w:afterAutospacing="0"/>
        <w:rPr>
          <w:rFonts w:asciiTheme="minorHAnsi" w:hAnsiTheme="minorHAnsi" w:cstheme="minorHAnsi"/>
          <w:color w:val="333333"/>
          <w:sz w:val="20"/>
          <w:szCs w:val="20"/>
        </w:rPr>
      </w:pPr>
    </w:p>
    <w:p w14:paraId="21B7F715" w14:textId="77777777" w:rsidR="00B73B77" w:rsidRDefault="00B73B77" w:rsidP="009A4496">
      <w:pPr>
        <w:pStyle w:val="CPRE-TitleCopyStyle"/>
        <w:ind w:left="0"/>
        <w:rPr>
          <w:color w:val="70AD47" w:themeColor="accent6"/>
          <w:sz w:val="36"/>
          <w:szCs w:val="36"/>
          <w:lang w:val="en-US"/>
        </w:rPr>
      </w:pPr>
      <w:r>
        <w:rPr>
          <w:color w:val="70AD47" w:themeColor="accent6"/>
          <w:sz w:val="36"/>
          <w:szCs w:val="36"/>
          <w:lang w:val="en-US"/>
        </w:rPr>
        <w:t>Amended Allocations</w:t>
      </w:r>
    </w:p>
    <w:p w14:paraId="0915A947" w14:textId="2F8BD004" w:rsidR="00EB16B7" w:rsidRDefault="000C5149" w:rsidP="009A4496">
      <w:pPr>
        <w:pStyle w:val="CPRE-TitleCopyStyle"/>
        <w:ind w:left="0"/>
        <w:rPr>
          <w:color w:val="70AD47" w:themeColor="accent6"/>
          <w:sz w:val="36"/>
          <w:szCs w:val="36"/>
          <w:lang w:val="en-US"/>
        </w:rPr>
      </w:pPr>
      <w:r>
        <w:rPr>
          <w:color w:val="70AD47" w:themeColor="accent6"/>
          <w:sz w:val="36"/>
          <w:szCs w:val="36"/>
          <w:lang w:val="en-US"/>
        </w:rPr>
        <w:t>Acorn Way</w:t>
      </w:r>
    </w:p>
    <w:p w14:paraId="7F028817" w14:textId="74438BC3" w:rsidR="00311436" w:rsidRPr="00342510" w:rsidRDefault="00311436" w:rsidP="00311436">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342510">
        <w:rPr>
          <w:rStyle w:val="Strong"/>
          <w:rFonts w:asciiTheme="minorHAnsi" w:hAnsiTheme="minorHAnsi" w:cstheme="minorHAnsi"/>
          <w:b w:val="0"/>
          <w:bCs w:val="0"/>
          <w:color w:val="333333"/>
        </w:rPr>
        <w:t>Strategic Policy 1.3 – Acorn Way</w:t>
      </w:r>
    </w:p>
    <w:p w14:paraId="1F2BD11F" w14:textId="77777777" w:rsidR="00311436" w:rsidRPr="00342510" w:rsidRDefault="00311436" w:rsidP="00311436">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342510">
        <w:rPr>
          <w:rStyle w:val="Strong"/>
          <w:rFonts w:asciiTheme="minorHAnsi" w:hAnsiTheme="minorHAnsi" w:cstheme="minorHAnsi"/>
          <w:b w:val="0"/>
          <w:bCs w:val="0"/>
          <w:color w:val="333333"/>
        </w:rPr>
        <w:t>Land west of Acorn Way as shown on the Policies Map is allocated for strategic residential development of around </w:t>
      </w:r>
      <w:r w:rsidRPr="00342510">
        <w:rPr>
          <w:rStyle w:val="Strong"/>
          <w:rFonts w:asciiTheme="minorHAnsi" w:hAnsiTheme="minorHAnsi" w:cstheme="minorHAnsi"/>
          <w:b w:val="0"/>
          <w:bCs w:val="0"/>
          <w:strike/>
          <w:color w:val="333333"/>
        </w:rPr>
        <w:t>600</w:t>
      </w:r>
      <w:r w:rsidRPr="00342510">
        <w:rPr>
          <w:rStyle w:val="Strong"/>
          <w:rFonts w:asciiTheme="minorHAnsi" w:hAnsiTheme="minorHAnsi" w:cstheme="minorHAnsi"/>
          <w:b w:val="0"/>
          <w:bCs w:val="0"/>
          <w:color w:val="333333"/>
        </w:rPr>
        <w:t> 550 homes across </w:t>
      </w:r>
      <w:r w:rsidRPr="00342510">
        <w:rPr>
          <w:rStyle w:val="Strong"/>
          <w:rFonts w:asciiTheme="minorHAnsi" w:hAnsiTheme="minorHAnsi" w:cstheme="minorHAnsi"/>
          <w:b w:val="0"/>
          <w:bCs w:val="0"/>
          <w:strike/>
          <w:color w:val="333333"/>
        </w:rPr>
        <w:t>26</w:t>
      </w:r>
      <w:r w:rsidRPr="00342510">
        <w:rPr>
          <w:rStyle w:val="Strong"/>
          <w:rFonts w:asciiTheme="minorHAnsi" w:hAnsiTheme="minorHAnsi" w:cstheme="minorHAnsi"/>
          <w:b w:val="0"/>
          <w:bCs w:val="0"/>
          <w:color w:val="333333"/>
        </w:rPr>
        <w:t> 24 hectares of land that will extend the Derby neighbourhood of Oakwood.</w:t>
      </w:r>
    </w:p>
    <w:p w14:paraId="4DFDF08D" w14:textId="1E22BE80" w:rsidR="001973BD" w:rsidRDefault="008E3973" w:rsidP="009A4496">
      <w:pPr>
        <w:pStyle w:val="CPRE-TitleCopyStyle"/>
        <w:ind w:left="0"/>
        <w:rPr>
          <w:color w:val="70AD47" w:themeColor="accent6"/>
          <w:sz w:val="36"/>
          <w:szCs w:val="36"/>
          <w:lang w:val="en-US"/>
        </w:rPr>
      </w:pPr>
      <w:r>
        <w:rPr>
          <w:color w:val="70AD47" w:themeColor="accent6"/>
          <w:sz w:val="36"/>
          <w:szCs w:val="36"/>
          <w:lang w:val="en-US"/>
        </w:rPr>
        <w:t>South West Of Kirk Hallam</w:t>
      </w:r>
    </w:p>
    <w:p w14:paraId="5C1E0137" w14:textId="77777777" w:rsidR="00F344BF" w:rsidRPr="000E479F" w:rsidRDefault="00F344BF" w:rsidP="00F344BF">
      <w:pPr>
        <w:pStyle w:val="NormalWeb"/>
        <w:shd w:val="clear" w:color="auto" w:fill="FFFFFF"/>
        <w:spacing w:before="0" w:beforeAutospacing="0" w:after="0" w:afterAutospacing="0"/>
        <w:rPr>
          <w:rFonts w:asciiTheme="minorHAnsi" w:hAnsiTheme="minorHAnsi" w:cstheme="minorHAnsi"/>
          <w:b/>
          <w:bCs/>
          <w:color w:val="333333"/>
          <w:sz w:val="20"/>
          <w:szCs w:val="20"/>
        </w:rPr>
      </w:pPr>
      <w:r w:rsidRPr="000E479F">
        <w:rPr>
          <w:rStyle w:val="Strong"/>
          <w:rFonts w:asciiTheme="minorHAnsi" w:hAnsiTheme="minorHAnsi" w:cstheme="minorHAnsi"/>
          <w:b w:val="0"/>
          <w:bCs w:val="0"/>
          <w:color w:val="333333"/>
          <w:u w:val="single"/>
        </w:rPr>
        <w:t>Strategic Policy 1.5 – South West of Kirk Hallam</w:t>
      </w:r>
    </w:p>
    <w:p w14:paraId="46AE05F8" w14:textId="5E7B156A" w:rsidR="008E3973" w:rsidRDefault="00F344BF" w:rsidP="00342510">
      <w:pPr>
        <w:pStyle w:val="NormalWeb"/>
        <w:shd w:val="clear" w:color="auto" w:fill="FFFFFF"/>
        <w:spacing w:before="0" w:beforeAutospacing="0" w:after="0" w:afterAutospacing="0"/>
        <w:rPr>
          <w:rStyle w:val="Strong"/>
          <w:rFonts w:ascii="Calibri body" w:hAnsi="Calibri body" w:cs="Arial"/>
          <w:b w:val="0"/>
          <w:bCs w:val="0"/>
          <w:color w:val="333333"/>
        </w:rPr>
      </w:pPr>
      <w:r w:rsidRPr="000E479F">
        <w:rPr>
          <w:rStyle w:val="Strong"/>
          <w:rFonts w:asciiTheme="minorHAnsi" w:hAnsiTheme="minorHAnsi" w:cstheme="minorHAnsi"/>
          <w:b w:val="0"/>
          <w:bCs w:val="0"/>
          <w:color w:val="333333"/>
        </w:rPr>
        <w:t>Land south west of Kirk Hallam as shown on the Policies Map is allocated for strategic residential development of around </w:t>
      </w:r>
      <w:r w:rsidRPr="000E479F">
        <w:rPr>
          <w:rStyle w:val="Strong"/>
          <w:rFonts w:asciiTheme="minorHAnsi" w:hAnsiTheme="minorHAnsi" w:cstheme="minorHAnsi"/>
          <w:b w:val="0"/>
          <w:bCs w:val="0"/>
          <w:color w:val="333333"/>
          <w:u w:val="single"/>
        </w:rPr>
        <w:t>1,000 </w:t>
      </w:r>
      <w:r w:rsidRPr="000E479F">
        <w:rPr>
          <w:rStyle w:val="Strong"/>
          <w:rFonts w:asciiTheme="minorHAnsi" w:hAnsiTheme="minorHAnsi" w:cstheme="minorHAnsi"/>
          <w:b w:val="0"/>
          <w:bCs w:val="0"/>
          <w:strike/>
          <w:color w:val="333333"/>
        </w:rPr>
        <w:t>1300</w:t>
      </w:r>
      <w:r w:rsidRPr="000E479F">
        <w:rPr>
          <w:rStyle w:val="Strong"/>
          <w:rFonts w:asciiTheme="minorHAnsi" w:hAnsiTheme="minorHAnsi" w:cstheme="minorHAnsi"/>
          <w:b w:val="0"/>
          <w:bCs w:val="0"/>
          <w:color w:val="333333"/>
        </w:rPr>
        <w:t> new homes, a new primary school, a new local centre, an extension to the Pioneer Meadows Local Nature Reserve, and a relief road across 50 hectares of land. The development will form an extension to the community of Kirk Hallam</w:t>
      </w:r>
      <w:r w:rsidRPr="00342510">
        <w:rPr>
          <w:rStyle w:val="Strong"/>
          <w:rFonts w:ascii="Calibri body" w:hAnsi="Calibri body" w:cs="Arial"/>
          <w:b w:val="0"/>
          <w:bCs w:val="0"/>
          <w:color w:val="333333"/>
        </w:rPr>
        <w:t>. </w:t>
      </w:r>
    </w:p>
    <w:p w14:paraId="6F0F03FC" w14:textId="77777777" w:rsidR="00342510" w:rsidRPr="00F344BF" w:rsidRDefault="00342510" w:rsidP="00342510">
      <w:pPr>
        <w:pStyle w:val="NormalWeb"/>
        <w:shd w:val="clear" w:color="auto" w:fill="FFFFFF"/>
        <w:spacing w:before="0" w:beforeAutospacing="0" w:after="0" w:afterAutospacing="0"/>
        <w:rPr>
          <w:color w:val="70AD47" w:themeColor="accent6"/>
          <w:sz w:val="36"/>
          <w:szCs w:val="36"/>
        </w:rPr>
      </w:pPr>
    </w:p>
    <w:p w14:paraId="5BAD80AA" w14:textId="72A3DAF4" w:rsidR="00B17542" w:rsidRDefault="00322946" w:rsidP="005C5C5C">
      <w:pPr>
        <w:pStyle w:val="CPRE-SubtitleCopyStyle"/>
        <w:ind w:left="0"/>
        <w:jc w:val="both"/>
        <w:rPr>
          <w:sz w:val="24"/>
          <w:szCs w:val="24"/>
        </w:rPr>
      </w:pPr>
      <w:r w:rsidRPr="005C5C5C">
        <w:rPr>
          <w:sz w:val="24"/>
          <w:szCs w:val="24"/>
        </w:rPr>
        <w:t>Dear</w:t>
      </w:r>
      <w:r w:rsidR="005C5C5C" w:rsidRPr="005C5C5C">
        <w:rPr>
          <w:sz w:val="24"/>
          <w:szCs w:val="24"/>
        </w:rPr>
        <w:t xml:space="preserve"> </w:t>
      </w:r>
      <w:r w:rsidR="00F4011C">
        <w:rPr>
          <w:sz w:val="24"/>
          <w:szCs w:val="24"/>
        </w:rPr>
        <w:t>Steve</w:t>
      </w:r>
      <w:r w:rsidR="00004241">
        <w:rPr>
          <w:sz w:val="24"/>
          <w:szCs w:val="24"/>
        </w:rPr>
        <w:t xml:space="preserve"> and Curtis</w:t>
      </w:r>
    </w:p>
    <w:p w14:paraId="15868898" w14:textId="77777777" w:rsidR="005C5C5C" w:rsidRPr="005C5C5C" w:rsidRDefault="005C5C5C" w:rsidP="005C5C5C">
      <w:pPr>
        <w:pStyle w:val="CPRE-SubtitleCopyStyle"/>
        <w:ind w:left="0"/>
        <w:jc w:val="both"/>
        <w:rPr>
          <w:sz w:val="24"/>
          <w:szCs w:val="24"/>
        </w:rPr>
      </w:pPr>
    </w:p>
    <w:p w14:paraId="63BA9D8B" w14:textId="47E9905F" w:rsidR="00DA6252" w:rsidRDefault="00DA6252" w:rsidP="005C5C5C">
      <w:pPr>
        <w:pStyle w:val="CPRE-BodyCopyStyle"/>
        <w:ind w:left="0"/>
        <w:jc w:val="both"/>
        <w:rPr>
          <w:rFonts w:cstheme="minorHAnsi"/>
          <w:color w:val="222222"/>
          <w:shd w:val="clear" w:color="auto" w:fill="FFFFFF"/>
        </w:rPr>
      </w:pPr>
      <w:r w:rsidRPr="00D16177">
        <w:rPr>
          <w:rFonts w:cstheme="minorHAnsi"/>
          <w:color w:val="222222"/>
          <w:shd w:val="clear" w:color="auto" w:fill="FFFFFF"/>
        </w:rPr>
        <w:t xml:space="preserve">CPRE Derbyshire, the countryside charity, is supportive in principle of </w:t>
      </w:r>
      <w:r w:rsidR="005C5C5C" w:rsidRPr="00D16177">
        <w:rPr>
          <w:rFonts w:cstheme="minorHAnsi"/>
          <w:color w:val="222222"/>
          <w:shd w:val="clear" w:color="auto" w:fill="FFFFFF"/>
        </w:rPr>
        <w:t>well-planned</w:t>
      </w:r>
      <w:r w:rsidRPr="00D16177">
        <w:rPr>
          <w:rFonts w:cstheme="minorHAnsi"/>
          <w:color w:val="222222"/>
          <w:shd w:val="clear" w:color="auto" w:fill="FFFFFF"/>
        </w:rPr>
        <w:t xml:space="preserve"> development that accounts thoroughly for local needs. We apply the same principles to evaluate the location, design and impact of the proposed site as to any other development taking place in the countryside and considering national and local planning policy. Our primary focus and objective is to ensure that sensitive landscapes are protected from detrimental impacts of development and in line with the NPPF guidelines on sustainability, are preserved for both current and future generations from</w:t>
      </w:r>
      <w:r w:rsidR="00F4011C">
        <w:rPr>
          <w:rFonts w:cstheme="minorHAnsi"/>
          <w:color w:val="222222"/>
          <w:shd w:val="clear" w:color="auto" w:fill="FFFFFF"/>
        </w:rPr>
        <w:t xml:space="preserve"> </w:t>
      </w:r>
      <w:r w:rsidRPr="00D16177">
        <w:rPr>
          <w:rFonts w:cstheme="minorHAnsi"/>
          <w:color w:val="222222"/>
          <w:shd w:val="clear" w:color="auto" w:fill="FFFFFF"/>
        </w:rPr>
        <w:t>the perspective of distinctive landscape character assets as well as important access and amenity to cherished green spaces conveniently close to where people live.</w:t>
      </w:r>
    </w:p>
    <w:p w14:paraId="2E23BE63" w14:textId="2755E7C5" w:rsidR="00B337CF" w:rsidRDefault="00DA6252" w:rsidP="005C5C5C">
      <w:pPr>
        <w:pStyle w:val="CPRE-BodyCopyStyle"/>
        <w:ind w:left="0"/>
        <w:rPr>
          <w:rFonts w:cstheme="minorHAnsi"/>
          <w:color w:val="222222"/>
          <w:shd w:val="clear" w:color="auto" w:fill="FFFFFF"/>
        </w:rPr>
      </w:pPr>
      <w:r w:rsidRPr="00D16177">
        <w:rPr>
          <w:rFonts w:cstheme="minorHAnsi"/>
          <w:color w:val="222222"/>
        </w:rPr>
        <w:br/>
      </w:r>
      <w:r w:rsidRPr="00D16177">
        <w:rPr>
          <w:rFonts w:cstheme="minorHAnsi"/>
          <w:color w:val="222222"/>
          <w:shd w:val="clear" w:color="auto" w:fill="FFFFFF"/>
        </w:rPr>
        <w:t>The value of countryside to people’s wellbeing and as a buffer against climate change has never been more obvious and its heritage value, once lost or seriously degraded is virtually impossible to retrieve. Development proposals in open countryside or on undeveloped green field sites, we believe</w:t>
      </w:r>
      <w:r w:rsidR="00CD3143">
        <w:rPr>
          <w:rFonts w:cstheme="minorHAnsi"/>
          <w:color w:val="222222"/>
          <w:shd w:val="clear" w:color="auto" w:fill="FFFFFF"/>
        </w:rPr>
        <w:t>,</w:t>
      </w:r>
      <w:r w:rsidRPr="00D16177">
        <w:rPr>
          <w:rFonts w:cstheme="minorHAnsi"/>
          <w:color w:val="222222"/>
          <w:shd w:val="clear" w:color="auto" w:fill="FFFFFF"/>
        </w:rPr>
        <w:t xml:space="preserve"> must be considered holistically in terms of what these places mean to people and contribute to communities now and for the future.</w:t>
      </w:r>
      <w:r w:rsidRPr="00D16177">
        <w:rPr>
          <w:rFonts w:cstheme="minorHAnsi"/>
          <w:color w:val="222222"/>
        </w:rPr>
        <w:br/>
      </w:r>
      <w:r w:rsidRPr="00D16177">
        <w:rPr>
          <w:rFonts w:cstheme="minorHAnsi"/>
          <w:color w:val="222222"/>
        </w:rPr>
        <w:br/>
      </w:r>
      <w:r w:rsidRPr="00D16177">
        <w:rPr>
          <w:rFonts w:cstheme="minorHAnsi"/>
          <w:color w:val="222222"/>
          <w:shd w:val="clear" w:color="auto" w:fill="FFFFFF"/>
        </w:rPr>
        <w:t>CPRE – The Countryside Charity - believes in countryside and green spaces that are accessible to all, rich in nature and playing a crucial role in responding to the climate emergency. We work with our community, members and stakeholders for a thriving local countryside for all. We support plan-led development which accounts for the needs and preferences of local communities by robust consultation and sound evidence</w:t>
      </w:r>
      <w:r>
        <w:rPr>
          <w:rFonts w:cstheme="minorHAnsi"/>
          <w:color w:val="222222"/>
          <w:shd w:val="clear" w:color="auto" w:fill="FFFFFF"/>
        </w:rPr>
        <w:t>.</w:t>
      </w:r>
    </w:p>
    <w:p w14:paraId="1173D3AF" w14:textId="77777777" w:rsidR="00140196" w:rsidRDefault="00140196" w:rsidP="005C5C5C">
      <w:pPr>
        <w:pStyle w:val="CPRE-BodyCopyStyle"/>
        <w:ind w:left="0"/>
        <w:rPr>
          <w:rFonts w:cstheme="minorHAnsi"/>
          <w:color w:val="222222"/>
          <w:shd w:val="clear" w:color="auto" w:fill="FFFFFF"/>
        </w:rPr>
      </w:pPr>
    </w:p>
    <w:p w14:paraId="3662CC20" w14:textId="77777777" w:rsidR="001A43FE" w:rsidRDefault="00140196" w:rsidP="001A43FE">
      <w:pPr>
        <w:pStyle w:val="CPRE-BodyCopyStyle"/>
        <w:ind w:left="0"/>
        <w:rPr>
          <w:rFonts w:cstheme="minorHAnsi"/>
          <w:color w:val="222222"/>
          <w:shd w:val="clear" w:color="auto" w:fill="FFFFFF"/>
        </w:rPr>
      </w:pPr>
      <w:r>
        <w:rPr>
          <w:rFonts w:cstheme="minorHAnsi"/>
          <w:color w:val="222222"/>
          <w:shd w:val="clear" w:color="auto" w:fill="FFFFFF"/>
        </w:rPr>
        <w:lastRenderedPageBreak/>
        <w:t>Land is a precious resource and must be used wisely, CPRE supports a ‘brownfield first, greenfield last’ strategy as a general principle.</w:t>
      </w:r>
    </w:p>
    <w:p w14:paraId="5F8BD6EA" w14:textId="078CE230" w:rsidR="00CB1BD0" w:rsidRPr="00316FAD" w:rsidRDefault="00CB1BD0" w:rsidP="00316FAD">
      <w:pPr>
        <w:pStyle w:val="CPRE-BodyCopyStyle"/>
        <w:ind w:left="0"/>
        <w:rPr>
          <w:color w:val="000000"/>
          <w:sz w:val="27"/>
          <w:szCs w:val="27"/>
        </w:rPr>
      </w:pPr>
    </w:p>
    <w:p w14:paraId="7A0AE946" w14:textId="0F3EC1D7" w:rsidR="00271AC3" w:rsidRDefault="00825E77" w:rsidP="006341E4">
      <w:pPr>
        <w:pStyle w:val="CPRE-BodyCopyStyle"/>
        <w:ind w:left="0"/>
        <w:jc w:val="both"/>
        <w:rPr>
          <w:rFonts w:cstheme="minorHAnsi"/>
          <w:color w:val="222222"/>
          <w:shd w:val="clear" w:color="auto" w:fill="FFFFFF"/>
        </w:rPr>
      </w:pPr>
      <w:r w:rsidRPr="00825E77">
        <w:rPr>
          <w:rFonts w:cstheme="minorHAnsi"/>
          <w:color w:val="222222"/>
          <w:shd w:val="clear" w:color="auto" w:fill="FFFFFF"/>
        </w:rPr>
        <w:t xml:space="preserve">CPRE Derbyshire believes that to permit </w:t>
      </w:r>
      <w:r w:rsidR="00F4011C">
        <w:rPr>
          <w:rFonts w:cstheme="minorHAnsi"/>
          <w:color w:val="222222"/>
          <w:shd w:val="clear" w:color="auto" w:fill="FFFFFF"/>
        </w:rPr>
        <w:t xml:space="preserve">the change from Green Belt to Grey </w:t>
      </w:r>
      <w:r w:rsidR="009C7293">
        <w:rPr>
          <w:rFonts w:cstheme="minorHAnsi"/>
          <w:color w:val="222222"/>
          <w:shd w:val="clear" w:color="auto" w:fill="FFFFFF"/>
        </w:rPr>
        <w:t>B</w:t>
      </w:r>
      <w:r w:rsidR="00F4011C">
        <w:rPr>
          <w:rFonts w:cstheme="minorHAnsi"/>
          <w:color w:val="222222"/>
          <w:shd w:val="clear" w:color="auto" w:fill="FFFFFF"/>
        </w:rPr>
        <w:t xml:space="preserve">elt for all of the new allocation sites and the subsequent </w:t>
      </w:r>
      <w:r w:rsidRPr="00825E77">
        <w:rPr>
          <w:rFonts w:cstheme="minorHAnsi"/>
          <w:color w:val="222222"/>
          <w:shd w:val="clear" w:color="auto" w:fill="FFFFFF"/>
        </w:rPr>
        <w:t xml:space="preserve"> development would be contrary to our aims and to those of the local communit</w:t>
      </w:r>
      <w:r w:rsidR="00F4011C">
        <w:rPr>
          <w:rFonts w:cstheme="minorHAnsi"/>
          <w:color w:val="222222"/>
          <w:shd w:val="clear" w:color="auto" w:fill="FFFFFF"/>
        </w:rPr>
        <w:t>ies</w:t>
      </w:r>
      <w:r w:rsidR="00211670">
        <w:rPr>
          <w:rFonts w:cstheme="minorHAnsi"/>
          <w:color w:val="222222"/>
          <w:shd w:val="clear" w:color="auto" w:fill="FFFFFF"/>
        </w:rPr>
        <w:t xml:space="preserve">. It is </w:t>
      </w:r>
      <w:r w:rsidR="00A85D78">
        <w:rPr>
          <w:rFonts w:cstheme="minorHAnsi"/>
          <w:color w:val="222222"/>
          <w:shd w:val="clear" w:color="auto" w:fill="FFFFFF"/>
        </w:rPr>
        <w:t>important to remember that most of the Green Belt is high value countryside</w:t>
      </w:r>
      <w:r w:rsidR="00FC7263">
        <w:rPr>
          <w:rFonts w:cstheme="minorHAnsi"/>
          <w:color w:val="222222"/>
          <w:shd w:val="clear" w:color="auto" w:fill="FFFFFF"/>
        </w:rPr>
        <w:t xml:space="preserve"> </w:t>
      </w:r>
      <w:r w:rsidR="00990C98">
        <w:rPr>
          <w:rFonts w:cstheme="minorHAnsi"/>
          <w:color w:val="222222"/>
          <w:shd w:val="clear" w:color="auto" w:fill="FFFFFF"/>
        </w:rPr>
        <w:t xml:space="preserve">and in the instances detailed is productive farmland or </w:t>
      </w:r>
      <w:r w:rsidR="00FC7263">
        <w:rPr>
          <w:rFonts w:cstheme="minorHAnsi"/>
          <w:color w:val="222222"/>
          <w:shd w:val="clear" w:color="auto" w:fill="FFFFFF"/>
        </w:rPr>
        <w:t>grazing</w:t>
      </w:r>
      <w:r w:rsidR="00990C98">
        <w:rPr>
          <w:rFonts w:cstheme="minorHAnsi"/>
          <w:color w:val="222222"/>
          <w:shd w:val="clear" w:color="auto" w:fill="FFFFFF"/>
        </w:rPr>
        <w:t xml:space="preserve"> land. </w:t>
      </w:r>
      <w:r w:rsidR="005E6E73">
        <w:rPr>
          <w:rFonts w:cstheme="minorHAnsi"/>
          <w:color w:val="222222"/>
          <w:shd w:val="clear" w:color="auto" w:fill="FFFFFF"/>
        </w:rPr>
        <w:t xml:space="preserve">It is not </w:t>
      </w:r>
      <w:r w:rsidR="005E6E73" w:rsidRPr="008A0F0B">
        <w:rPr>
          <w:rFonts w:cstheme="minorHAnsi"/>
          <w:i/>
          <w:iCs/>
          <w:color w:val="222222"/>
          <w:shd w:val="clear" w:color="auto" w:fill="FFFFFF"/>
        </w:rPr>
        <w:t>Land that does not make an important contribution to the functioning of the Green Belt</w:t>
      </w:r>
      <w:r w:rsidR="003728FC">
        <w:rPr>
          <w:rFonts w:cstheme="minorHAnsi"/>
          <w:color w:val="222222"/>
          <w:shd w:val="clear" w:color="auto" w:fill="FFFFFF"/>
        </w:rPr>
        <w:t xml:space="preserve"> </w:t>
      </w:r>
      <w:r w:rsidR="005E6E73">
        <w:rPr>
          <w:rFonts w:cstheme="minorHAnsi"/>
          <w:color w:val="222222"/>
          <w:shd w:val="clear" w:color="auto" w:fill="FFFFFF"/>
        </w:rPr>
        <w:t xml:space="preserve"> as stated in the  </w:t>
      </w:r>
      <w:r w:rsidR="006001B1">
        <w:rPr>
          <w:rFonts w:cstheme="minorHAnsi"/>
          <w:color w:val="222222"/>
          <w:shd w:val="clear" w:color="auto" w:fill="FFFFFF"/>
        </w:rPr>
        <w:t>Erewash Local Plan d</w:t>
      </w:r>
      <w:r w:rsidR="00FC7263">
        <w:rPr>
          <w:rFonts w:cstheme="minorHAnsi"/>
          <w:color w:val="222222"/>
          <w:shd w:val="clear" w:color="auto" w:fill="FFFFFF"/>
        </w:rPr>
        <w:t>ocumentation</w:t>
      </w:r>
    </w:p>
    <w:p w14:paraId="5BFF259C" w14:textId="77777777" w:rsidR="00A84591" w:rsidRDefault="00A84591" w:rsidP="006341E4">
      <w:pPr>
        <w:pStyle w:val="CPRE-BodyCopyStyle"/>
        <w:ind w:left="0"/>
        <w:jc w:val="both"/>
        <w:rPr>
          <w:rFonts w:cstheme="minorHAnsi"/>
          <w:color w:val="222222"/>
          <w:shd w:val="clear" w:color="auto" w:fill="FFFFFF"/>
        </w:rPr>
      </w:pPr>
    </w:p>
    <w:p w14:paraId="4AAF903E" w14:textId="08023880" w:rsidR="00A339FA" w:rsidRDefault="00A339FA" w:rsidP="001B77A6">
      <w:pPr>
        <w:pStyle w:val="CPRE-BodyCopyStyle"/>
        <w:ind w:left="0"/>
        <w:jc w:val="both"/>
        <w:rPr>
          <w:rFonts w:cstheme="minorHAnsi"/>
          <w:color w:val="222222"/>
          <w:shd w:val="clear" w:color="auto" w:fill="FFFFFF"/>
        </w:rPr>
      </w:pPr>
      <w:hyperlink r:id="rId11" w:history="1">
        <w:r w:rsidRPr="00A339FA">
          <w:rPr>
            <w:color w:val="0000FF"/>
            <w:u w:val="single"/>
          </w:rPr>
          <w:t>Brownfield Policy Guidance Note - CPRE</w:t>
        </w:r>
      </w:hyperlink>
    </w:p>
    <w:p w14:paraId="6CFC2193" w14:textId="7D3952E1" w:rsidR="00A339FA" w:rsidRDefault="00DF6509" w:rsidP="006341E4">
      <w:pPr>
        <w:pStyle w:val="CPRE-BodyCopyStyle"/>
        <w:ind w:left="0"/>
        <w:jc w:val="both"/>
        <w:rPr>
          <w:rFonts w:cstheme="minorHAnsi"/>
          <w:color w:val="222222"/>
          <w:shd w:val="clear" w:color="auto" w:fill="FFFFFF"/>
        </w:rPr>
      </w:pPr>
      <w:hyperlink r:id="rId12" w:history="1">
        <w:r w:rsidRPr="00DF6509">
          <w:rPr>
            <w:color w:val="0000FF"/>
            <w:u w:val="single"/>
          </w:rPr>
          <w:t>Our view on Labour's five golden rules for development on the 'grey belt' - CPRE</w:t>
        </w:r>
      </w:hyperlink>
    </w:p>
    <w:p w14:paraId="63D8F94C" w14:textId="77777777" w:rsidR="001B77A6" w:rsidRDefault="001B77A6" w:rsidP="006341E4">
      <w:pPr>
        <w:pStyle w:val="CPRE-BodyCopyStyle"/>
        <w:ind w:left="0"/>
        <w:jc w:val="both"/>
        <w:rPr>
          <w:rFonts w:cstheme="minorHAnsi"/>
          <w:color w:val="222222"/>
          <w:shd w:val="clear" w:color="auto" w:fill="FFFFFF"/>
        </w:rPr>
      </w:pPr>
    </w:p>
    <w:p w14:paraId="4F0A437C" w14:textId="583E29DD" w:rsidR="00302CC1" w:rsidRDefault="00302CC1" w:rsidP="006341E4">
      <w:pPr>
        <w:pStyle w:val="CPRE-BodyCopyStyle"/>
        <w:ind w:left="0"/>
        <w:jc w:val="both"/>
        <w:rPr>
          <w:rFonts w:cstheme="minorHAnsi"/>
          <w:color w:val="222222"/>
          <w:shd w:val="clear" w:color="auto" w:fill="FFFFFF"/>
        </w:rPr>
      </w:pPr>
      <w:r>
        <w:rPr>
          <w:rFonts w:cstheme="minorHAnsi"/>
          <w:color w:val="222222"/>
          <w:shd w:val="clear" w:color="auto" w:fill="FFFFFF"/>
        </w:rPr>
        <w:t>Detailed Objections :</w:t>
      </w:r>
    </w:p>
    <w:p w14:paraId="330D8238" w14:textId="77777777" w:rsidR="00302CC1" w:rsidRDefault="00302CC1" w:rsidP="006341E4">
      <w:pPr>
        <w:pStyle w:val="CPRE-BodyCopyStyle"/>
        <w:ind w:left="0"/>
        <w:jc w:val="both"/>
        <w:rPr>
          <w:rFonts w:cstheme="minorHAnsi"/>
          <w:color w:val="222222"/>
          <w:shd w:val="clear" w:color="auto" w:fill="FFFFFF"/>
        </w:rPr>
      </w:pPr>
    </w:p>
    <w:p w14:paraId="1E5671D8" w14:textId="6BBF03AA" w:rsidR="00BD68A9" w:rsidRDefault="002D0F25" w:rsidP="008D599A">
      <w:pPr>
        <w:pStyle w:val="CPRE-BodyCopyStyle"/>
        <w:ind w:left="0"/>
        <w:jc w:val="both"/>
        <w:rPr>
          <w:rFonts w:cstheme="minorHAnsi"/>
          <w:b/>
          <w:bCs/>
          <w:color w:val="222222"/>
          <w:shd w:val="clear" w:color="auto" w:fill="FFFFFF"/>
        </w:rPr>
      </w:pPr>
      <w:r w:rsidRPr="00BD68A9">
        <w:rPr>
          <w:rFonts w:cstheme="minorHAnsi"/>
          <w:b/>
          <w:bCs/>
          <w:color w:val="222222"/>
          <w:shd w:val="clear" w:color="auto" w:fill="FFFFFF"/>
        </w:rPr>
        <w:t>Public Consultation</w:t>
      </w:r>
    </w:p>
    <w:p w14:paraId="068CEB3F" w14:textId="77777777" w:rsidR="0039643E" w:rsidRPr="008D599A" w:rsidRDefault="0039643E" w:rsidP="008D599A">
      <w:pPr>
        <w:pStyle w:val="CPRE-BodyCopyStyle"/>
        <w:ind w:left="0"/>
        <w:jc w:val="both"/>
        <w:rPr>
          <w:rFonts w:cstheme="minorHAnsi"/>
          <w:b/>
          <w:bCs/>
          <w:color w:val="222222"/>
          <w:shd w:val="clear" w:color="auto" w:fill="FFFFFF"/>
        </w:rPr>
      </w:pPr>
    </w:p>
    <w:p w14:paraId="3995ED3F" w14:textId="77777777" w:rsidR="009C7293" w:rsidRDefault="009C7293" w:rsidP="008D599A">
      <w:pPr>
        <w:pStyle w:val="CPRE-BodyCopyStyle"/>
        <w:numPr>
          <w:ilvl w:val="0"/>
          <w:numId w:val="13"/>
        </w:numPr>
        <w:jc w:val="both"/>
        <w:rPr>
          <w:rFonts w:cstheme="minorHAnsi"/>
          <w:color w:val="222222"/>
          <w:shd w:val="clear" w:color="auto" w:fill="FFFFFF"/>
        </w:rPr>
      </w:pPr>
      <w:r>
        <w:rPr>
          <w:rFonts w:cstheme="minorHAnsi"/>
          <w:color w:val="222222"/>
          <w:shd w:val="clear" w:color="auto" w:fill="FFFFFF"/>
        </w:rPr>
        <w:t>The Public consultation period runs for 6 weeks. This is the minimum time frame for a Public Consultation and limits the detail that individuals and concerned groups can bring together to provide detailed and evidential responses</w:t>
      </w:r>
    </w:p>
    <w:p w14:paraId="29E187FE" w14:textId="10F6094A" w:rsidR="009C7293" w:rsidRDefault="009C7293" w:rsidP="008D599A">
      <w:pPr>
        <w:pStyle w:val="CPRE-BodyCopyStyle"/>
        <w:numPr>
          <w:ilvl w:val="0"/>
          <w:numId w:val="13"/>
        </w:numPr>
        <w:jc w:val="both"/>
        <w:rPr>
          <w:rFonts w:cstheme="minorHAnsi"/>
          <w:color w:val="222222"/>
          <w:shd w:val="clear" w:color="auto" w:fill="FFFFFF"/>
        </w:rPr>
      </w:pPr>
      <w:r>
        <w:rPr>
          <w:rFonts w:cstheme="minorHAnsi"/>
          <w:color w:val="222222"/>
          <w:shd w:val="clear" w:color="auto" w:fill="FFFFFF"/>
        </w:rPr>
        <w:t xml:space="preserve">The Public consultation does not appear to be inclusive as the main mechanism for responding to the change in the New Allocations is via the Erewash Borough Council Website. This does not provide for the Erewash residents who do not have easy access to the Portal. The ability to respond via a </w:t>
      </w:r>
      <w:r w:rsidR="00804488">
        <w:rPr>
          <w:rFonts w:cstheme="minorHAnsi"/>
          <w:color w:val="222222"/>
          <w:shd w:val="clear" w:color="auto" w:fill="FFFFFF"/>
        </w:rPr>
        <w:t>multi</w:t>
      </w:r>
      <w:r>
        <w:rPr>
          <w:rFonts w:cstheme="minorHAnsi"/>
          <w:color w:val="222222"/>
          <w:shd w:val="clear" w:color="auto" w:fill="FFFFFF"/>
        </w:rPr>
        <w:t xml:space="preserve"> based method would support a full and inclusive set of views and concerns. </w:t>
      </w:r>
      <w:r w:rsidR="00D52EBB">
        <w:rPr>
          <w:rFonts w:cstheme="minorHAnsi"/>
          <w:color w:val="222222"/>
          <w:shd w:val="clear" w:color="auto" w:fill="FFFFFF"/>
        </w:rPr>
        <w:t xml:space="preserve">A </w:t>
      </w:r>
      <w:r w:rsidR="000B3449">
        <w:rPr>
          <w:rFonts w:cstheme="minorHAnsi"/>
          <w:color w:val="222222"/>
          <w:shd w:val="clear" w:color="auto" w:fill="FFFFFF"/>
        </w:rPr>
        <w:t>recent</w:t>
      </w:r>
      <w:r w:rsidR="00D52EBB">
        <w:rPr>
          <w:rFonts w:cstheme="minorHAnsi"/>
          <w:color w:val="222222"/>
          <w:shd w:val="clear" w:color="auto" w:fill="FFFFFF"/>
        </w:rPr>
        <w:t xml:space="preserve"> example of a</w:t>
      </w:r>
      <w:r w:rsidR="00105DF4">
        <w:rPr>
          <w:rFonts w:cstheme="minorHAnsi"/>
          <w:color w:val="222222"/>
          <w:shd w:val="clear" w:color="auto" w:fill="FFFFFF"/>
        </w:rPr>
        <w:t>n inclusive</w:t>
      </w:r>
      <w:r w:rsidR="00D52EBB">
        <w:rPr>
          <w:rFonts w:cstheme="minorHAnsi"/>
          <w:color w:val="222222"/>
          <w:shd w:val="clear" w:color="auto" w:fill="FFFFFF"/>
        </w:rPr>
        <w:t xml:space="preserve"> </w:t>
      </w:r>
      <w:r w:rsidR="009F384D">
        <w:rPr>
          <w:rFonts w:cstheme="minorHAnsi"/>
          <w:color w:val="222222"/>
          <w:shd w:val="clear" w:color="auto" w:fill="FFFFFF"/>
        </w:rPr>
        <w:t>Public consultatio</w:t>
      </w:r>
      <w:r w:rsidR="00CF6A21">
        <w:rPr>
          <w:rFonts w:cstheme="minorHAnsi"/>
          <w:color w:val="222222"/>
          <w:shd w:val="clear" w:color="auto" w:fill="FFFFFF"/>
        </w:rPr>
        <w:t>n</w:t>
      </w:r>
      <w:r w:rsidR="009F384D">
        <w:rPr>
          <w:rFonts w:cstheme="minorHAnsi"/>
          <w:color w:val="222222"/>
          <w:shd w:val="clear" w:color="auto" w:fill="FFFFFF"/>
        </w:rPr>
        <w:t xml:space="preserve"> was </w:t>
      </w:r>
      <w:r w:rsidR="00D4047C">
        <w:rPr>
          <w:rFonts w:cstheme="minorHAnsi"/>
          <w:color w:val="222222"/>
          <w:shd w:val="clear" w:color="auto" w:fill="FFFFFF"/>
        </w:rPr>
        <w:t>the</w:t>
      </w:r>
      <w:r w:rsidR="009F384D">
        <w:rPr>
          <w:rFonts w:cstheme="minorHAnsi"/>
          <w:color w:val="222222"/>
          <w:shd w:val="clear" w:color="auto" w:fill="FFFFFF"/>
        </w:rPr>
        <w:t xml:space="preserve"> National Grid</w:t>
      </w:r>
      <w:r w:rsidR="00CF6A21">
        <w:rPr>
          <w:rFonts w:cstheme="minorHAnsi"/>
          <w:color w:val="222222"/>
          <w:shd w:val="clear" w:color="auto" w:fill="FFFFFF"/>
        </w:rPr>
        <w:t>’s</w:t>
      </w:r>
      <w:r w:rsidR="009F384D">
        <w:rPr>
          <w:rFonts w:cstheme="minorHAnsi"/>
          <w:color w:val="222222"/>
          <w:shd w:val="clear" w:color="auto" w:fill="FFFFFF"/>
        </w:rPr>
        <w:t xml:space="preserve"> </w:t>
      </w:r>
      <w:r w:rsidR="004674F9">
        <w:rPr>
          <w:rFonts w:cstheme="minorHAnsi"/>
          <w:color w:val="222222"/>
          <w:shd w:val="clear" w:color="auto" w:fill="FFFFFF"/>
        </w:rPr>
        <w:t>Chesterfield to Willingto</w:t>
      </w:r>
      <w:r w:rsidR="00D4047C">
        <w:rPr>
          <w:rFonts w:cstheme="minorHAnsi"/>
          <w:color w:val="222222"/>
          <w:shd w:val="clear" w:color="auto" w:fill="FFFFFF"/>
        </w:rPr>
        <w:t>n</w:t>
      </w:r>
      <w:r w:rsidR="004674F9">
        <w:rPr>
          <w:rFonts w:cstheme="minorHAnsi"/>
          <w:color w:val="222222"/>
          <w:shd w:val="clear" w:color="auto" w:fill="FFFFFF"/>
        </w:rPr>
        <w:t xml:space="preserve"> Grid Upgrade</w:t>
      </w:r>
      <w:r w:rsidR="00CF6A21">
        <w:rPr>
          <w:rFonts w:cstheme="minorHAnsi"/>
          <w:color w:val="222222"/>
          <w:shd w:val="clear" w:color="auto" w:fill="FFFFFF"/>
        </w:rPr>
        <w:t xml:space="preserve"> project</w:t>
      </w:r>
      <w:r w:rsidR="00D4047C">
        <w:rPr>
          <w:rFonts w:cstheme="minorHAnsi"/>
          <w:color w:val="222222"/>
          <w:shd w:val="clear" w:color="auto" w:fill="FFFFFF"/>
        </w:rPr>
        <w:t>.</w:t>
      </w:r>
      <w:r w:rsidR="00804488">
        <w:rPr>
          <w:rFonts w:cstheme="minorHAnsi"/>
          <w:color w:val="222222"/>
          <w:shd w:val="clear" w:color="auto" w:fill="FFFFFF"/>
        </w:rPr>
        <w:t xml:space="preserve"> </w:t>
      </w:r>
      <w:r w:rsidR="00D4047C">
        <w:rPr>
          <w:rFonts w:cstheme="minorHAnsi"/>
          <w:color w:val="222222"/>
          <w:shd w:val="clear" w:color="auto" w:fill="FFFFFF"/>
        </w:rPr>
        <w:t xml:space="preserve">This </w:t>
      </w:r>
      <w:r w:rsidR="00C1504C">
        <w:rPr>
          <w:rFonts w:cstheme="minorHAnsi"/>
          <w:color w:val="222222"/>
          <w:shd w:val="clear" w:color="auto" w:fill="FFFFFF"/>
        </w:rPr>
        <w:t xml:space="preserve">delivered </w:t>
      </w:r>
      <w:r w:rsidR="004C7114">
        <w:rPr>
          <w:rFonts w:cstheme="minorHAnsi"/>
          <w:color w:val="222222"/>
          <w:shd w:val="clear" w:color="auto" w:fill="FFFFFF"/>
        </w:rPr>
        <w:t>a number</w:t>
      </w:r>
      <w:r w:rsidR="00804488">
        <w:rPr>
          <w:rFonts w:cstheme="minorHAnsi"/>
          <w:color w:val="222222"/>
          <w:shd w:val="clear" w:color="auto" w:fill="FFFFFF"/>
        </w:rPr>
        <w:t xml:space="preserve"> </w:t>
      </w:r>
      <w:r w:rsidR="00C1504C">
        <w:rPr>
          <w:rFonts w:cstheme="minorHAnsi"/>
          <w:color w:val="222222"/>
          <w:shd w:val="clear" w:color="auto" w:fill="FFFFFF"/>
        </w:rPr>
        <w:t xml:space="preserve">of </w:t>
      </w:r>
      <w:r w:rsidR="000B3449">
        <w:rPr>
          <w:rFonts w:cstheme="minorHAnsi"/>
          <w:color w:val="222222"/>
          <w:shd w:val="clear" w:color="auto" w:fill="FFFFFF"/>
        </w:rPr>
        <w:t xml:space="preserve">resident </w:t>
      </w:r>
      <w:r w:rsidR="006D4DD9">
        <w:rPr>
          <w:rFonts w:cstheme="minorHAnsi"/>
          <w:color w:val="222222"/>
          <w:shd w:val="clear" w:color="auto" w:fill="FFFFFF"/>
        </w:rPr>
        <w:t>engagement</w:t>
      </w:r>
      <w:r w:rsidR="004674F9">
        <w:rPr>
          <w:rFonts w:cstheme="minorHAnsi"/>
          <w:color w:val="222222"/>
          <w:shd w:val="clear" w:color="auto" w:fill="FFFFFF"/>
        </w:rPr>
        <w:t xml:space="preserve"> sessions and </w:t>
      </w:r>
      <w:r w:rsidR="004C7114">
        <w:rPr>
          <w:rFonts w:cstheme="minorHAnsi"/>
          <w:color w:val="222222"/>
          <w:shd w:val="clear" w:color="auto" w:fill="FFFFFF"/>
        </w:rPr>
        <w:t xml:space="preserve">allowed </w:t>
      </w:r>
      <w:r w:rsidR="0017291E">
        <w:rPr>
          <w:rFonts w:cstheme="minorHAnsi"/>
          <w:color w:val="222222"/>
          <w:shd w:val="clear" w:color="auto" w:fill="FFFFFF"/>
        </w:rPr>
        <w:t>18 weeks for feedback by phone, email, written feedback forms</w:t>
      </w:r>
      <w:r w:rsidR="007B63AE">
        <w:rPr>
          <w:rFonts w:cstheme="minorHAnsi"/>
          <w:color w:val="222222"/>
          <w:shd w:val="clear" w:color="auto" w:fill="FFFFFF"/>
        </w:rPr>
        <w:t xml:space="preserve"> and on line forms all</w:t>
      </w:r>
      <w:r w:rsidR="004674F9">
        <w:rPr>
          <w:rFonts w:cstheme="minorHAnsi"/>
          <w:color w:val="222222"/>
          <w:shd w:val="clear" w:color="auto" w:fill="FFFFFF"/>
        </w:rPr>
        <w:t xml:space="preserve"> supported </w:t>
      </w:r>
      <w:r w:rsidR="00D4047C">
        <w:rPr>
          <w:rFonts w:cstheme="minorHAnsi"/>
          <w:color w:val="222222"/>
          <w:shd w:val="clear" w:color="auto" w:fill="FFFFFF"/>
        </w:rPr>
        <w:t xml:space="preserve">by </w:t>
      </w:r>
      <w:r w:rsidR="00141509">
        <w:rPr>
          <w:rFonts w:cstheme="minorHAnsi"/>
          <w:color w:val="222222"/>
          <w:shd w:val="clear" w:color="auto" w:fill="FFFFFF"/>
        </w:rPr>
        <w:t>a</w:t>
      </w:r>
      <w:r w:rsidR="004674F9">
        <w:rPr>
          <w:rFonts w:cstheme="minorHAnsi"/>
          <w:color w:val="222222"/>
          <w:shd w:val="clear" w:color="auto" w:fill="FFFFFF"/>
        </w:rPr>
        <w:t xml:space="preserve"> Web Site.</w:t>
      </w:r>
    </w:p>
    <w:p w14:paraId="012F3B97" w14:textId="77777777" w:rsidR="0039643E" w:rsidRDefault="0039643E" w:rsidP="0039643E">
      <w:pPr>
        <w:pStyle w:val="CPRE-BodyCopyStyle"/>
        <w:ind w:left="1440"/>
        <w:jc w:val="both"/>
        <w:rPr>
          <w:rFonts w:cstheme="minorHAnsi"/>
          <w:color w:val="222222"/>
          <w:shd w:val="clear" w:color="auto" w:fill="FFFFFF"/>
        </w:rPr>
      </w:pPr>
    </w:p>
    <w:p w14:paraId="3EB6E77D" w14:textId="77777777" w:rsidR="0039643E" w:rsidRDefault="004D0854" w:rsidP="0039643E">
      <w:pPr>
        <w:pStyle w:val="NormalWeb"/>
        <w:spacing w:before="0" w:beforeAutospacing="0" w:after="0" w:afterAutospacing="0"/>
        <w:jc w:val="both"/>
        <w:rPr>
          <w:rFonts w:asciiTheme="minorHAnsi" w:eastAsiaTheme="minorEastAsia" w:hAnsiTheme="minorHAnsi" w:cstheme="minorHAnsi"/>
          <w:b/>
          <w:bCs/>
          <w:color w:val="000000" w:themeColor="text1"/>
          <w:kern w:val="24"/>
        </w:rPr>
      </w:pPr>
      <w:r w:rsidRPr="0039643E">
        <w:rPr>
          <w:rFonts w:asciiTheme="minorHAnsi" w:eastAsiaTheme="minorEastAsia" w:hAnsiTheme="minorHAnsi" w:cstheme="minorHAnsi"/>
          <w:b/>
          <w:bCs/>
          <w:color w:val="000000" w:themeColor="text1"/>
          <w:kern w:val="24"/>
        </w:rPr>
        <w:t>Green</w:t>
      </w:r>
      <w:r w:rsidR="0074798F" w:rsidRPr="0039643E">
        <w:rPr>
          <w:rFonts w:asciiTheme="minorHAnsi" w:eastAsiaTheme="minorEastAsia" w:hAnsiTheme="minorHAnsi" w:cstheme="minorHAnsi"/>
          <w:b/>
          <w:bCs/>
          <w:color w:val="000000" w:themeColor="text1"/>
          <w:kern w:val="24"/>
        </w:rPr>
        <w:t xml:space="preserve"> B</w:t>
      </w:r>
      <w:r w:rsidRPr="0039643E">
        <w:rPr>
          <w:rFonts w:asciiTheme="minorHAnsi" w:eastAsiaTheme="minorEastAsia" w:hAnsiTheme="minorHAnsi" w:cstheme="minorHAnsi"/>
          <w:b/>
          <w:bCs/>
          <w:color w:val="000000" w:themeColor="text1"/>
          <w:kern w:val="24"/>
        </w:rPr>
        <w:t>elt</w:t>
      </w:r>
      <w:r w:rsidRPr="0039643E">
        <w:rPr>
          <w:rFonts w:asciiTheme="minorHAnsi" w:hAnsiTheme="minorHAnsi" w:cstheme="minorHAnsi"/>
          <w:b/>
          <w:bCs/>
        </w:rPr>
        <w:t xml:space="preserve"> </w:t>
      </w:r>
      <w:r w:rsidRPr="0039643E">
        <w:rPr>
          <w:rFonts w:asciiTheme="minorHAnsi" w:eastAsiaTheme="minorEastAsia" w:hAnsiTheme="minorHAnsi" w:cstheme="minorHAnsi"/>
          <w:b/>
          <w:bCs/>
          <w:color w:val="000000" w:themeColor="text1"/>
          <w:kern w:val="24"/>
        </w:rPr>
        <w:t>Objection</w:t>
      </w:r>
    </w:p>
    <w:p w14:paraId="036F83BB" w14:textId="672983EC" w:rsidR="004D0854" w:rsidRPr="0039643E" w:rsidRDefault="004D0854" w:rsidP="0039643E">
      <w:pPr>
        <w:pStyle w:val="NormalWeb"/>
        <w:spacing w:before="0" w:beforeAutospacing="0" w:after="0" w:afterAutospacing="0"/>
        <w:jc w:val="both"/>
        <w:rPr>
          <w:rFonts w:asciiTheme="minorHAnsi" w:eastAsiaTheme="minorEastAsia" w:hAnsiTheme="minorHAnsi" w:cstheme="minorHAnsi"/>
          <w:b/>
          <w:bCs/>
          <w:color w:val="000000" w:themeColor="text1"/>
          <w:kern w:val="24"/>
        </w:rPr>
      </w:pPr>
      <w:r w:rsidRPr="0039643E">
        <w:rPr>
          <w:rFonts w:asciiTheme="minorHAnsi" w:eastAsiaTheme="minorEastAsia" w:hAnsiTheme="minorHAnsi" w:cstheme="minorHAnsi"/>
          <w:b/>
          <w:bCs/>
          <w:color w:val="000000" w:themeColor="text1"/>
          <w:kern w:val="24"/>
        </w:rPr>
        <w:t xml:space="preserve"> </w:t>
      </w:r>
    </w:p>
    <w:p w14:paraId="01F11870" w14:textId="77777777" w:rsidR="004D0854" w:rsidRPr="009C4FC9" w:rsidRDefault="004D0854" w:rsidP="00804488">
      <w:pPr>
        <w:pStyle w:val="NormalWeb"/>
        <w:spacing w:before="0" w:beforeAutospacing="0" w:after="0" w:afterAutospacing="0"/>
        <w:ind w:left="720" w:firstLine="720"/>
        <w:rPr>
          <w:rFonts w:asciiTheme="minorHAnsi" w:hAnsiTheme="minorHAnsi" w:cstheme="minorHAnsi"/>
        </w:rPr>
      </w:pPr>
      <w:r w:rsidRPr="009C4FC9">
        <w:rPr>
          <w:rFonts w:asciiTheme="minorHAnsi" w:eastAsiaTheme="minorEastAsia" w:hAnsiTheme="minorHAnsi" w:cstheme="minorHAnsi"/>
          <w:color w:val="000000" w:themeColor="text1"/>
          <w:kern w:val="24"/>
        </w:rPr>
        <w:t>NPPF states that Green Belt serves five purposes which are to;</w:t>
      </w:r>
    </w:p>
    <w:p w14:paraId="19433058" w14:textId="77777777" w:rsidR="004D0854" w:rsidRPr="009C4FC9" w:rsidRDefault="004D0854" w:rsidP="00BE39FC">
      <w:pPr>
        <w:pStyle w:val="NormalWeb"/>
        <w:spacing w:before="0" w:beforeAutospacing="0" w:after="0" w:afterAutospacing="0"/>
        <w:ind w:left="1440"/>
        <w:rPr>
          <w:rFonts w:asciiTheme="minorHAnsi" w:hAnsiTheme="minorHAnsi" w:cstheme="minorHAnsi"/>
        </w:rPr>
      </w:pPr>
      <w:r w:rsidRPr="009C4FC9">
        <w:rPr>
          <w:rFonts w:asciiTheme="minorHAnsi" w:eastAsiaTheme="minorEastAsia" w:hAnsiTheme="minorHAnsi" w:cstheme="minorHAnsi"/>
          <w:color w:val="000000" w:themeColor="text1"/>
          <w:kern w:val="24"/>
        </w:rPr>
        <w:t>check the unrestricted sprawl of large built-up areas</w:t>
      </w:r>
    </w:p>
    <w:p w14:paraId="41A26787" w14:textId="77777777" w:rsidR="004D0854" w:rsidRPr="009C4FC9" w:rsidRDefault="004D0854" w:rsidP="00BE39FC">
      <w:pPr>
        <w:pStyle w:val="NormalWeb"/>
        <w:spacing w:before="0" w:beforeAutospacing="0" w:after="0" w:afterAutospacing="0"/>
        <w:ind w:left="1440"/>
        <w:rPr>
          <w:rFonts w:asciiTheme="minorHAnsi" w:hAnsiTheme="minorHAnsi" w:cstheme="minorHAnsi"/>
        </w:rPr>
      </w:pPr>
      <w:r w:rsidRPr="009C4FC9">
        <w:rPr>
          <w:rFonts w:asciiTheme="minorHAnsi" w:eastAsiaTheme="minorEastAsia" w:hAnsiTheme="minorHAnsi" w:cstheme="minorHAnsi"/>
          <w:color w:val="000000" w:themeColor="text1"/>
          <w:kern w:val="24"/>
        </w:rPr>
        <w:t xml:space="preserve">prevent neighbouring towns from merging into one another </w:t>
      </w:r>
    </w:p>
    <w:p w14:paraId="0E6A826F" w14:textId="77777777" w:rsidR="004D0854" w:rsidRPr="009C4FC9" w:rsidRDefault="004D0854" w:rsidP="00BE39FC">
      <w:pPr>
        <w:pStyle w:val="NormalWeb"/>
        <w:spacing w:before="0" w:beforeAutospacing="0" w:after="0" w:afterAutospacing="0"/>
        <w:ind w:left="1440"/>
        <w:rPr>
          <w:rFonts w:asciiTheme="minorHAnsi" w:hAnsiTheme="minorHAnsi" w:cstheme="minorHAnsi"/>
        </w:rPr>
      </w:pPr>
      <w:r w:rsidRPr="009C4FC9">
        <w:rPr>
          <w:rFonts w:asciiTheme="minorHAnsi" w:eastAsiaTheme="minorEastAsia" w:hAnsiTheme="minorHAnsi" w:cstheme="minorHAnsi"/>
          <w:color w:val="000000" w:themeColor="text1"/>
          <w:kern w:val="24"/>
        </w:rPr>
        <w:t>safeguard the countryside from encroachment</w:t>
      </w:r>
    </w:p>
    <w:p w14:paraId="271A8E61" w14:textId="2504FB9E" w:rsidR="004D0854" w:rsidRPr="009C4FC9" w:rsidRDefault="004D0854" w:rsidP="00BE39FC">
      <w:pPr>
        <w:pStyle w:val="NormalWeb"/>
        <w:spacing w:before="0" w:beforeAutospacing="0" w:after="0" w:afterAutospacing="0"/>
        <w:ind w:left="1080" w:firstLine="360"/>
        <w:rPr>
          <w:rFonts w:asciiTheme="minorHAnsi" w:hAnsiTheme="minorHAnsi" w:cstheme="minorHAnsi"/>
        </w:rPr>
      </w:pPr>
      <w:r w:rsidRPr="009C4FC9">
        <w:rPr>
          <w:rFonts w:asciiTheme="minorHAnsi" w:eastAsiaTheme="minorEastAsia" w:hAnsiTheme="minorHAnsi" w:cstheme="minorHAnsi"/>
          <w:color w:val="000000" w:themeColor="text1"/>
          <w:kern w:val="24"/>
        </w:rPr>
        <w:t>reserve the setting and special character of historic towns</w:t>
      </w:r>
    </w:p>
    <w:p w14:paraId="40D4DF9A" w14:textId="26C25883" w:rsidR="004D0854" w:rsidRDefault="004D0854" w:rsidP="00BE39FC">
      <w:pPr>
        <w:pStyle w:val="NormalWeb"/>
        <w:spacing w:before="0" w:beforeAutospacing="0" w:after="0" w:afterAutospacing="0"/>
        <w:ind w:left="1440"/>
        <w:rPr>
          <w:rFonts w:asciiTheme="minorHAnsi" w:eastAsiaTheme="minorEastAsia" w:hAnsiTheme="minorHAnsi" w:cstheme="minorHAnsi"/>
          <w:color w:val="000000" w:themeColor="text1"/>
          <w:kern w:val="24"/>
        </w:rPr>
      </w:pPr>
      <w:r w:rsidRPr="009C4FC9">
        <w:rPr>
          <w:rFonts w:asciiTheme="minorHAnsi" w:eastAsiaTheme="minorEastAsia" w:hAnsiTheme="minorHAnsi" w:cstheme="minorHAnsi"/>
          <w:color w:val="000000" w:themeColor="text1"/>
          <w:kern w:val="24"/>
        </w:rPr>
        <w:t xml:space="preserve">assist urban regeneration by encouraging the recycling of derelict and other urban land. </w:t>
      </w:r>
    </w:p>
    <w:p w14:paraId="17E54E29" w14:textId="77777777" w:rsidR="00BE39FC" w:rsidRPr="009C4FC9" w:rsidRDefault="00BE39FC" w:rsidP="00BE39FC">
      <w:pPr>
        <w:pStyle w:val="NormalWeb"/>
        <w:spacing w:before="0" w:beforeAutospacing="0" w:after="0" w:afterAutospacing="0"/>
        <w:rPr>
          <w:rFonts w:asciiTheme="minorHAnsi" w:hAnsiTheme="minorHAnsi" w:cstheme="minorHAnsi"/>
        </w:rPr>
      </w:pPr>
    </w:p>
    <w:p w14:paraId="7D4CAA90" w14:textId="747A5E5E" w:rsidR="004D0854" w:rsidRPr="00BE39FC" w:rsidRDefault="004D0854" w:rsidP="00F61791">
      <w:pPr>
        <w:pStyle w:val="NormalWeb"/>
        <w:numPr>
          <w:ilvl w:val="0"/>
          <w:numId w:val="12"/>
        </w:numPr>
        <w:spacing w:before="0" w:beforeAutospacing="0" w:after="0" w:afterAutospacing="0"/>
        <w:rPr>
          <w:rFonts w:asciiTheme="minorHAnsi" w:hAnsiTheme="minorHAnsi" w:cstheme="minorHAnsi"/>
        </w:rPr>
      </w:pPr>
      <w:r w:rsidRPr="00BE39FC">
        <w:rPr>
          <w:rFonts w:asciiTheme="minorHAnsi" w:eastAsiaTheme="minorEastAsia" w:hAnsiTheme="minorHAnsi" w:cstheme="minorHAnsi"/>
          <w:color w:val="000000" w:themeColor="text1"/>
          <w:kern w:val="24"/>
        </w:rPr>
        <w:t>NPPF refers to Grey Belt as areas of previously developed land or other land that do not strongly contribute to Green Belt purposes</w:t>
      </w:r>
      <w:r w:rsidR="00F42CC4" w:rsidRPr="00BE39FC">
        <w:rPr>
          <w:rFonts w:asciiTheme="minorHAnsi" w:eastAsiaTheme="minorEastAsia" w:hAnsiTheme="minorHAnsi" w:cstheme="minorHAnsi"/>
          <w:color w:val="000000" w:themeColor="text1"/>
          <w:kern w:val="24"/>
        </w:rPr>
        <w:t xml:space="preserve">. The green belt land </w:t>
      </w:r>
      <w:r w:rsidR="00AC2995" w:rsidRPr="00BE39FC">
        <w:rPr>
          <w:rFonts w:asciiTheme="minorHAnsi" w:eastAsiaTheme="minorEastAsia" w:hAnsiTheme="minorHAnsi" w:cstheme="minorHAnsi"/>
          <w:color w:val="000000" w:themeColor="text1"/>
          <w:kern w:val="24"/>
        </w:rPr>
        <w:t>identified for Grey Belt Development</w:t>
      </w:r>
      <w:r w:rsidRPr="00BE39FC">
        <w:rPr>
          <w:rFonts w:asciiTheme="minorHAnsi" w:eastAsiaTheme="minorEastAsia" w:hAnsiTheme="minorHAnsi" w:cstheme="minorHAnsi"/>
          <w:color w:val="000000" w:themeColor="text1"/>
          <w:kern w:val="24"/>
        </w:rPr>
        <w:t xml:space="preserve"> is neither of these and strongly contributes towards Green Belt purposes as it acts as a buffer, safeguards the countryside and acts as a barrier to urban sprawl.</w:t>
      </w:r>
      <w:r w:rsidR="00AC2995" w:rsidRPr="00BE39FC">
        <w:rPr>
          <w:rFonts w:asciiTheme="minorHAnsi" w:eastAsiaTheme="minorEastAsia" w:hAnsiTheme="minorHAnsi" w:cstheme="minorHAnsi"/>
          <w:color w:val="000000" w:themeColor="text1"/>
          <w:kern w:val="24"/>
        </w:rPr>
        <w:t xml:space="preserve"> </w:t>
      </w:r>
      <w:r w:rsidR="00AC2995" w:rsidRPr="00610FEE">
        <w:rPr>
          <w:rFonts w:asciiTheme="minorHAnsi" w:eastAsiaTheme="minorEastAsia" w:hAnsiTheme="minorHAnsi" w:cstheme="minorHAnsi"/>
          <w:i/>
          <w:iCs/>
          <w:color w:val="000000" w:themeColor="text1"/>
          <w:kern w:val="24"/>
        </w:rPr>
        <w:t xml:space="preserve">Note The </w:t>
      </w:r>
      <w:r w:rsidR="00796513" w:rsidRPr="00610FEE">
        <w:rPr>
          <w:rFonts w:asciiTheme="minorHAnsi" w:eastAsiaTheme="minorEastAsia" w:hAnsiTheme="minorHAnsi" w:cstheme="minorHAnsi"/>
          <w:i/>
          <w:iCs/>
          <w:color w:val="000000" w:themeColor="text1"/>
          <w:kern w:val="24"/>
        </w:rPr>
        <w:t>Greenbelt</w:t>
      </w:r>
      <w:r w:rsidR="00207897" w:rsidRPr="00610FEE">
        <w:rPr>
          <w:rFonts w:asciiTheme="minorHAnsi" w:eastAsiaTheme="minorEastAsia" w:hAnsiTheme="minorHAnsi" w:cstheme="minorHAnsi"/>
          <w:i/>
          <w:iCs/>
          <w:color w:val="000000" w:themeColor="text1"/>
          <w:kern w:val="24"/>
        </w:rPr>
        <w:t xml:space="preserve"> land </w:t>
      </w:r>
      <w:r w:rsidR="00796513" w:rsidRPr="00610FEE">
        <w:rPr>
          <w:rFonts w:asciiTheme="minorHAnsi" w:eastAsiaTheme="minorEastAsia" w:hAnsiTheme="minorHAnsi" w:cstheme="minorHAnsi"/>
          <w:i/>
          <w:iCs/>
          <w:color w:val="000000" w:themeColor="text1"/>
          <w:kern w:val="24"/>
        </w:rPr>
        <w:t>has and is</w:t>
      </w:r>
      <w:r w:rsidR="00207897" w:rsidRPr="00610FEE">
        <w:rPr>
          <w:rFonts w:asciiTheme="minorHAnsi" w:eastAsiaTheme="minorEastAsia" w:hAnsiTheme="minorHAnsi" w:cstheme="minorHAnsi"/>
          <w:i/>
          <w:iCs/>
          <w:color w:val="000000" w:themeColor="text1"/>
          <w:kern w:val="24"/>
        </w:rPr>
        <w:t xml:space="preserve"> </w:t>
      </w:r>
      <w:r w:rsidR="00796513" w:rsidRPr="00610FEE">
        <w:rPr>
          <w:rFonts w:asciiTheme="minorHAnsi" w:eastAsiaTheme="minorEastAsia" w:hAnsiTheme="minorHAnsi" w:cstheme="minorHAnsi"/>
          <w:i/>
          <w:iCs/>
          <w:color w:val="000000" w:themeColor="text1"/>
          <w:kern w:val="24"/>
        </w:rPr>
        <w:t>being</w:t>
      </w:r>
      <w:r w:rsidR="00207897" w:rsidRPr="00610FEE">
        <w:rPr>
          <w:rFonts w:asciiTheme="minorHAnsi" w:eastAsiaTheme="minorEastAsia" w:hAnsiTheme="minorHAnsi" w:cstheme="minorHAnsi"/>
          <w:i/>
          <w:iCs/>
          <w:color w:val="000000" w:themeColor="text1"/>
          <w:kern w:val="24"/>
        </w:rPr>
        <w:t xml:space="preserve"> used for Food production </w:t>
      </w:r>
      <w:r w:rsidR="004068D0" w:rsidRPr="00610FEE">
        <w:rPr>
          <w:rFonts w:asciiTheme="minorHAnsi" w:eastAsiaTheme="minorEastAsia" w:hAnsiTheme="minorHAnsi" w:cstheme="minorHAnsi"/>
          <w:i/>
          <w:iCs/>
          <w:color w:val="000000" w:themeColor="text1"/>
          <w:kern w:val="24"/>
        </w:rPr>
        <w:t>or</w:t>
      </w:r>
      <w:r w:rsidR="00207897" w:rsidRPr="00610FEE">
        <w:rPr>
          <w:rFonts w:asciiTheme="minorHAnsi" w:eastAsiaTheme="minorEastAsia" w:hAnsiTheme="minorHAnsi" w:cstheme="minorHAnsi"/>
          <w:i/>
          <w:iCs/>
          <w:color w:val="000000" w:themeColor="text1"/>
          <w:kern w:val="24"/>
        </w:rPr>
        <w:t xml:space="preserve"> grazing land in all locations</w:t>
      </w:r>
      <w:r w:rsidR="00207897" w:rsidRPr="00BE39FC">
        <w:rPr>
          <w:rFonts w:asciiTheme="minorHAnsi" w:eastAsiaTheme="minorEastAsia" w:hAnsiTheme="minorHAnsi" w:cstheme="minorHAnsi"/>
          <w:b/>
          <w:bCs/>
          <w:color w:val="000000" w:themeColor="text1"/>
          <w:kern w:val="24"/>
        </w:rPr>
        <w:t xml:space="preserve"> </w:t>
      </w:r>
    </w:p>
    <w:p w14:paraId="6B43F60F" w14:textId="50FC6BA9" w:rsidR="004D0854" w:rsidRPr="00D85468" w:rsidRDefault="004D0854" w:rsidP="00D85468">
      <w:pPr>
        <w:pStyle w:val="NormalWeb"/>
        <w:numPr>
          <w:ilvl w:val="0"/>
          <w:numId w:val="12"/>
        </w:numPr>
        <w:spacing w:before="0" w:beforeAutospacing="0" w:after="0" w:afterAutospacing="0"/>
        <w:rPr>
          <w:rFonts w:asciiTheme="minorHAnsi" w:hAnsiTheme="minorHAnsi" w:cstheme="minorHAnsi"/>
        </w:rPr>
      </w:pPr>
      <w:r w:rsidRPr="009C4FC9">
        <w:rPr>
          <w:rFonts w:asciiTheme="minorHAnsi" w:eastAsiaTheme="minorEastAsia" w:hAnsiTheme="minorHAnsi" w:cstheme="minorHAnsi"/>
          <w:color w:val="000000" w:themeColor="text1"/>
          <w:kern w:val="24"/>
        </w:rPr>
        <w:t xml:space="preserve">NPPF states the development of homes, commercial and other development in the Green Belt should not be regarded as inappropriate where the development would utilise Grey Belt land and would not fundamentally undermine the purposes (taken together) of the remaining Green Belt across the area of the plan. It is clear the authority is now altering </w:t>
      </w:r>
      <w:r w:rsidRPr="009C4FC9">
        <w:rPr>
          <w:rFonts w:asciiTheme="minorHAnsi" w:eastAsiaTheme="minorEastAsia" w:hAnsiTheme="minorHAnsi" w:cstheme="minorHAnsi"/>
          <w:color w:val="000000" w:themeColor="text1"/>
          <w:kern w:val="24"/>
        </w:rPr>
        <w:lastRenderedPageBreak/>
        <w:t xml:space="preserve">existing and acceptable Green Belt land to suit this paragraph/approach of the NPPF by converting it to Grey Belt. This is an </w:t>
      </w:r>
      <w:r w:rsidR="00D85468">
        <w:rPr>
          <w:rFonts w:asciiTheme="minorHAnsi" w:eastAsiaTheme="minorEastAsia" w:hAnsiTheme="minorHAnsi" w:cstheme="minorHAnsi"/>
          <w:color w:val="000000" w:themeColor="text1"/>
          <w:kern w:val="24"/>
        </w:rPr>
        <w:t>incorrect</w:t>
      </w:r>
      <w:r w:rsidRPr="009C4FC9">
        <w:rPr>
          <w:rFonts w:asciiTheme="minorHAnsi" w:eastAsiaTheme="minorEastAsia" w:hAnsiTheme="minorHAnsi" w:cstheme="minorHAnsi"/>
          <w:color w:val="000000" w:themeColor="text1"/>
          <w:kern w:val="24"/>
        </w:rPr>
        <w:t xml:space="preserve"> interpretation of what Grey Belt land is.</w:t>
      </w:r>
    </w:p>
    <w:p w14:paraId="29CF1E2C" w14:textId="1CEBB79D" w:rsidR="004D0854" w:rsidRPr="00D85468" w:rsidRDefault="004D0854" w:rsidP="00D85468">
      <w:pPr>
        <w:pStyle w:val="NormalWeb"/>
        <w:numPr>
          <w:ilvl w:val="0"/>
          <w:numId w:val="12"/>
        </w:numPr>
        <w:spacing w:before="0" w:beforeAutospacing="0" w:after="0" w:afterAutospacing="0"/>
        <w:rPr>
          <w:rFonts w:asciiTheme="minorHAnsi" w:hAnsiTheme="minorHAnsi" w:cstheme="minorHAnsi"/>
        </w:rPr>
      </w:pPr>
      <w:r w:rsidRPr="009C4FC9">
        <w:rPr>
          <w:rFonts w:asciiTheme="minorHAnsi" w:eastAsiaTheme="minorEastAsia" w:hAnsiTheme="minorHAnsi" w:cstheme="minorHAnsi"/>
          <w:color w:val="000000" w:themeColor="text1"/>
          <w:kern w:val="24"/>
        </w:rPr>
        <w:t>NPPF 8. Promoting healthy and safe communities:- 104. Planning policies and decisions should protect and enhance public rights of way and access, including taking opportunities to provide better facilities for users.</w:t>
      </w:r>
    </w:p>
    <w:p w14:paraId="5F26B4EC" w14:textId="1E63C210" w:rsidR="004D0854" w:rsidRPr="00D85468" w:rsidRDefault="004D0854" w:rsidP="00D85468">
      <w:pPr>
        <w:pStyle w:val="NormalWeb"/>
        <w:numPr>
          <w:ilvl w:val="0"/>
          <w:numId w:val="12"/>
        </w:numPr>
        <w:spacing w:before="0" w:beforeAutospacing="0" w:after="0" w:afterAutospacing="0"/>
        <w:rPr>
          <w:rFonts w:asciiTheme="minorHAnsi" w:hAnsiTheme="minorHAnsi" w:cstheme="minorHAnsi"/>
        </w:rPr>
      </w:pPr>
      <w:r w:rsidRPr="009C4FC9">
        <w:rPr>
          <w:rFonts w:asciiTheme="minorHAnsi" w:eastAsiaTheme="minorEastAsia" w:hAnsiTheme="minorHAnsi" w:cstheme="minorHAnsi"/>
          <w:color w:val="000000" w:themeColor="text1"/>
          <w:kern w:val="24"/>
        </w:rPr>
        <w:t>It was previously thought that the land of the former Stanton Ironworks was taken out of the EBCs core strategy due to contamination that rendered the site unusable. Yet a recent Freedom of Information (FOI) request which was answered by EBC has advised the site is indeed to be utilised and has been allocated 1000 houses. Can</w:t>
      </w:r>
      <w:r w:rsidRPr="00A1582B">
        <w:rPr>
          <w:rFonts w:asciiTheme="minorBidi" w:eastAsiaTheme="minorEastAsia" w:hAnsiTheme="minorBidi" w:cstheme="minorBidi"/>
          <w:color w:val="000000" w:themeColor="text1"/>
          <w:kern w:val="24"/>
        </w:rPr>
        <w:t xml:space="preserve"> </w:t>
      </w:r>
      <w:r w:rsidRPr="009C4FC9">
        <w:rPr>
          <w:rFonts w:asciiTheme="minorHAnsi" w:eastAsiaTheme="minorEastAsia" w:hAnsiTheme="minorHAnsi" w:cstheme="minorHAnsi"/>
          <w:color w:val="000000" w:themeColor="text1"/>
          <w:kern w:val="24"/>
        </w:rPr>
        <w:t>EBC please advise of the status of the Stanton Ironworks sites and if this is included within the Core Strategy and how the planned 1000 houses impacts the Greenbelt review and use of Greenbelt land.</w:t>
      </w:r>
    </w:p>
    <w:p w14:paraId="39CFF44A" w14:textId="3E706DF3" w:rsidR="004D0854" w:rsidRPr="00D85468" w:rsidRDefault="004D0854" w:rsidP="00D85468">
      <w:pPr>
        <w:pStyle w:val="NormalWeb"/>
        <w:numPr>
          <w:ilvl w:val="0"/>
          <w:numId w:val="12"/>
        </w:numPr>
        <w:spacing w:before="0" w:beforeAutospacing="0" w:after="0" w:afterAutospacing="0"/>
        <w:rPr>
          <w:rFonts w:asciiTheme="minorHAnsi" w:hAnsiTheme="minorHAnsi" w:cstheme="minorHAnsi"/>
        </w:rPr>
      </w:pPr>
      <w:r w:rsidRPr="009C4FC9">
        <w:rPr>
          <w:rFonts w:asciiTheme="minorHAnsi" w:eastAsiaTheme="minorEastAsia" w:hAnsiTheme="minorHAnsi" w:cstheme="minorHAnsi"/>
          <w:color w:val="000000" w:themeColor="text1"/>
          <w:kern w:val="24"/>
        </w:rPr>
        <w:t>NPPF 4. States that local planning authorities should approach decisions on proposed development in a positive and creative way. They should use the full range of planning tools available, including brownfield registers and permission in principle, and work proactively with applicants to secure developments that will improve the economic, social and environmental conditions of the area. EBC needs to demonstrate what appraisals have been undertaken on the 109 Brownfield sites as detailed within their own Brownfield Register, and why these sites have not been prioritised for development over the identified Green Belt land.</w:t>
      </w:r>
    </w:p>
    <w:p w14:paraId="7555EC5D" w14:textId="2B81361E" w:rsidR="004D0854" w:rsidRPr="00D85468" w:rsidRDefault="004D0854" w:rsidP="00D85468">
      <w:pPr>
        <w:pStyle w:val="NormalWeb"/>
        <w:numPr>
          <w:ilvl w:val="0"/>
          <w:numId w:val="12"/>
        </w:numPr>
        <w:spacing w:before="0" w:beforeAutospacing="0" w:after="0" w:afterAutospacing="0"/>
        <w:rPr>
          <w:rFonts w:asciiTheme="minorHAnsi" w:hAnsiTheme="minorHAnsi" w:cstheme="minorHAnsi"/>
          <w:b/>
          <w:bCs/>
        </w:rPr>
      </w:pPr>
      <w:r w:rsidRPr="00804488">
        <w:rPr>
          <w:rFonts w:asciiTheme="minorHAnsi" w:eastAsiaTheme="minorEastAsia" w:hAnsiTheme="minorHAnsi" w:cstheme="minorHAnsi"/>
          <w:color w:val="000000" w:themeColor="text1"/>
          <w:kern w:val="24"/>
        </w:rPr>
        <w:t>NPPF 13. Protecting Green Belt Land:- The government attaches great importance to Green Belts. The fundamental aim of Green Belt is to keep land permanently open; the essential characteristics of Green Belts are their openness and their permanence. This is an inappropriate development in the Green Belt and there is No evidence from the appraisals that have been undertaken on existing Brownfield sites within EBC which there are 109 with 8 of these giving over 51H and the opportunity to develop over 500 dwellings</w:t>
      </w:r>
      <w:r w:rsidRPr="009C4FC9">
        <w:rPr>
          <w:rFonts w:asciiTheme="minorHAnsi" w:eastAsiaTheme="minorEastAsia" w:hAnsiTheme="minorHAnsi" w:cstheme="minorHAnsi"/>
          <w:b/>
          <w:bCs/>
          <w:color w:val="000000" w:themeColor="text1"/>
          <w:kern w:val="24"/>
        </w:rPr>
        <w:t>.</w:t>
      </w:r>
    </w:p>
    <w:p w14:paraId="1430FCCD" w14:textId="669DB6BC" w:rsidR="004D0854" w:rsidRPr="00D85468" w:rsidRDefault="004D0854" w:rsidP="00D85468">
      <w:pPr>
        <w:pStyle w:val="NormalWeb"/>
        <w:numPr>
          <w:ilvl w:val="0"/>
          <w:numId w:val="12"/>
        </w:numPr>
        <w:spacing w:before="0" w:beforeAutospacing="0" w:after="0" w:afterAutospacing="0"/>
        <w:rPr>
          <w:rFonts w:asciiTheme="minorHAnsi" w:hAnsiTheme="minorHAnsi" w:cstheme="minorHAnsi"/>
        </w:rPr>
      </w:pPr>
      <w:r w:rsidRPr="009C4FC9">
        <w:rPr>
          <w:rFonts w:asciiTheme="minorHAnsi" w:eastAsiaTheme="minorEastAsia" w:hAnsiTheme="minorHAnsi" w:cstheme="minorHAnsi"/>
          <w:color w:val="000000" w:themeColor="text1"/>
          <w:kern w:val="24"/>
        </w:rPr>
        <w:t>NPPF 20. States that the target level of housing development within the plans should be capped in line with the capacity of Brownfield sites to accommodate it, to protect Green Belt, yet these plans significantly exceed it.</w:t>
      </w:r>
    </w:p>
    <w:p w14:paraId="6E8F46C1" w14:textId="5AE8894B" w:rsidR="00D85468" w:rsidRPr="00D85468" w:rsidRDefault="004D0854" w:rsidP="00D85468">
      <w:pPr>
        <w:pStyle w:val="NormalWeb"/>
        <w:numPr>
          <w:ilvl w:val="0"/>
          <w:numId w:val="12"/>
        </w:numPr>
        <w:spacing w:before="0" w:beforeAutospacing="0" w:after="0" w:afterAutospacing="0"/>
        <w:rPr>
          <w:rFonts w:asciiTheme="minorHAnsi" w:hAnsiTheme="minorHAnsi" w:cstheme="minorHAnsi"/>
        </w:rPr>
      </w:pPr>
      <w:r w:rsidRPr="009C4FC9">
        <w:rPr>
          <w:rFonts w:asciiTheme="minorHAnsi" w:eastAsiaTheme="minorEastAsia" w:hAnsiTheme="minorHAnsi" w:cstheme="minorHAnsi"/>
          <w:color w:val="000000" w:themeColor="text1"/>
          <w:kern w:val="24"/>
        </w:rPr>
        <w:t xml:space="preserve">NPPF 146. The applicant and authority </w:t>
      </w:r>
      <w:r w:rsidR="00DC266A">
        <w:rPr>
          <w:rFonts w:asciiTheme="minorHAnsi" w:eastAsiaTheme="minorEastAsia" w:hAnsiTheme="minorHAnsi" w:cstheme="minorHAnsi"/>
          <w:color w:val="000000" w:themeColor="text1"/>
          <w:kern w:val="24"/>
        </w:rPr>
        <w:t>must</w:t>
      </w:r>
      <w:r w:rsidRPr="009C4FC9">
        <w:rPr>
          <w:rFonts w:asciiTheme="minorHAnsi" w:eastAsiaTheme="minorEastAsia" w:hAnsiTheme="minorHAnsi" w:cstheme="minorHAnsi"/>
          <w:color w:val="000000" w:themeColor="text1"/>
          <w:kern w:val="24"/>
        </w:rPr>
        <w:t xml:space="preserve"> make as much use as possible of Brownfield Sites and underutilised land; </w:t>
      </w:r>
      <w:r w:rsidR="00804488">
        <w:rPr>
          <w:rFonts w:asciiTheme="minorHAnsi" w:eastAsiaTheme="minorEastAsia" w:hAnsiTheme="minorHAnsi" w:cstheme="minorHAnsi"/>
          <w:color w:val="000000" w:themeColor="text1"/>
          <w:kern w:val="24"/>
        </w:rPr>
        <w:t>And prove</w:t>
      </w:r>
      <w:r w:rsidRPr="009C4FC9">
        <w:rPr>
          <w:rFonts w:asciiTheme="minorHAnsi" w:eastAsiaTheme="minorEastAsia" w:hAnsiTheme="minorHAnsi" w:cstheme="minorHAnsi"/>
          <w:color w:val="000000" w:themeColor="text1"/>
          <w:kern w:val="24"/>
        </w:rPr>
        <w:t xml:space="preserve"> that there is nothing left before encroaching on the Green Belt. • There is no </w:t>
      </w:r>
      <w:r w:rsidR="00DC266A">
        <w:rPr>
          <w:rFonts w:asciiTheme="minorHAnsi" w:eastAsiaTheme="minorEastAsia" w:hAnsiTheme="minorHAnsi" w:cstheme="minorHAnsi"/>
          <w:color w:val="000000" w:themeColor="text1"/>
          <w:kern w:val="24"/>
        </w:rPr>
        <w:t>proof</w:t>
      </w:r>
      <w:r w:rsidRPr="009C4FC9">
        <w:rPr>
          <w:rFonts w:asciiTheme="minorHAnsi" w:eastAsiaTheme="minorEastAsia" w:hAnsiTheme="minorHAnsi" w:cstheme="minorHAnsi"/>
          <w:color w:val="000000" w:themeColor="text1"/>
          <w:kern w:val="24"/>
        </w:rPr>
        <w:t xml:space="preserve"> of the authority discussing with neighbouring authorities about whether they could accommodate some of the identified need for this development, in order to</w:t>
      </w:r>
      <w:r w:rsidR="00804488">
        <w:rPr>
          <w:rFonts w:asciiTheme="minorHAnsi" w:eastAsiaTheme="minorEastAsia" w:hAnsiTheme="minorHAnsi" w:cstheme="minorHAnsi"/>
          <w:color w:val="000000" w:themeColor="text1"/>
          <w:kern w:val="24"/>
        </w:rPr>
        <w:t xml:space="preserve"> not</w:t>
      </w:r>
      <w:r w:rsidRPr="009C4FC9">
        <w:rPr>
          <w:rFonts w:asciiTheme="minorHAnsi" w:eastAsiaTheme="minorEastAsia" w:hAnsiTheme="minorHAnsi" w:cstheme="minorHAnsi"/>
          <w:color w:val="000000" w:themeColor="text1"/>
          <w:kern w:val="24"/>
        </w:rPr>
        <w:t xml:space="preserve"> use the Green Belt.</w:t>
      </w:r>
    </w:p>
    <w:p w14:paraId="0675756A" w14:textId="57294FD4" w:rsidR="004D0854" w:rsidRPr="00D85468" w:rsidRDefault="004D0854" w:rsidP="00D85468">
      <w:pPr>
        <w:pStyle w:val="NormalWeb"/>
        <w:numPr>
          <w:ilvl w:val="0"/>
          <w:numId w:val="12"/>
        </w:numPr>
        <w:spacing w:before="0" w:beforeAutospacing="0" w:after="0" w:afterAutospacing="0"/>
        <w:rPr>
          <w:rFonts w:asciiTheme="minorHAnsi" w:hAnsiTheme="minorHAnsi" w:cstheme="minorHAnsi"/>
        </w:rPr>
      </w:pPr>
      <w:r w:rsidRPr="00D85468">
        <w:rPr>
          <w:rFonts w:asciiTheme="minorHAnsi" w:eastAsiaTheme="minorEastAsia" w:hAnsiTheme="minorHAnsi" w:cstheme="minorHAnsi"/>
          <w:color w:val="000000" w:themeColor="text1"/>
          <w:kern w:val="24"/>
        </w:rPr>
        <w:t xml:space="preserve">The recent pandemic has highlighted the valuable and regular use of the footpaths around and across </w:t>
      </w:r>
      <w:r w:rsidR="0046342E" w:rsidRPr="00D85468">
        <w:rPr>
          <w:rFonts w:asciiTheme="minorHAnsi" w:eastAsiaTheme="minorEastAsia" w:hAnsiTheme="minorHAnsi" w:cstheme="minorHAnsi"/>
          <w:color w:val="000000" w:themeColor="text1"/>
          <w:kern w:val="24"/>
        </w:rPr>
        <w:t>the</w:t>
      </w:r>
      <w:r w:rsidRPr="00D85468">
        <w:rPr>
          <w:rFonts w:asciiTheme="minorHAnsi" w:eastAsiaTheme="minorEastAsia" w:hAnsiTheme="minorHAnsi" w:cstheme="minorHAnsi"/>
          <w:color w:val="000000" w:themeColor="text1"/>
          <w:kern w:val="24"/>
        </w:rPr>
        <w:t xml:space="preserve"> green belt, promoting and fostering good mental health. The amenity and enjoyment of these pathways provide</w:t>
      </w:r>
      <w:r w:rsidR="0046342E" w:rsidRPr="00D85468">
        <w:rPr>
          <w:rFonts w:asciiTheme="minorHAnsi" w:eastAsiaTheme="minorEastAsia" w:hAnsiTheme="minorHAnsi" w:cstheme="minorHAnsi"/>
          <w:color w:val="000000" w:themeColor="text1"/>
          <w:kern w:val="24"/>
        </w:rPr>
        <w:t>s</w:t>
      </w:r>
      <w:r w:rsidRPr="00D85468">
        <w:rPr>
          <w:rFonts w:asciiTheme="minorHAnsi" w:eastAsiaTheme="minorEastAsia" w:hAnsiTheme="minorHAnsi" w:cstheme="minorHAnsi"/>
          <w:color w:val="000000" w:themeColor="text1"/>
          <w:kern w:val="24"/>
        </w:rPr>
        <w:t xml:space="preserve"> an important means by which residents of the local villages can get access to the countryside with substantial benefits for their physical and mental health as well as providing means of sustainable transport. For the people of </w:t>
      </w:r>
      <w:r w:rsidR="0046342E" w:rsidRPr="00D85468">
        <w:rPr>
          <w:rFonts w:asciiTheme="minorHAnsi" w:eastAsiaTheme="minorEastAsia" w:hAnsiTheme="minorHAnsi" w:cstheme="minorHAnsi"/>
          <w:color w:val="000000" w:themeColor="text1"/>
          <w:kern w:val="24"/>
        </w:rPr>
        <w:t xml:space="preserve">these locations </w:t>
      </w:r>
      <w:r w:rsidRPr="00D85468">
        <w:rPr>
          <w:rFonts w:asciiTheme="minorHAnsi" w:eastAsiaTheme="minorEastAsia" w:hAnsiTheme="minorHAnsi" w:cstheme="minorHAnsi"/>
          <w:color w:val="000000" w:themeColor="text1"/>
          <w:kern w:val="24"/>
        </w:rPr>
        <w:t xml:space="preserve">, this will have a </w:t>
      </w:r>
      <w:r w:rsidR="00DC266A">
        <w:rPr>
          <w:rFonts w:asciiTheme="minorHAnsi" w:eastAsiaTheme="minorEastAsia" w:hAnsiTheme="minorHAnsi" w:cstheme="minorHAnsi"/>
          <w:color w:val="000000" w:themeColor="text1"/>
          <w:kern w:val="24"/>
        </w:rPr>
        <w:t>negative</w:t>
      </w:r>
      <w:r w:rsidRPr="00D85468">
        <w:rPr>
          <w:rFonts w:asciiTheme="minorHAnsi" w:eastAsiaTheme="minorEastAsia" w:hAnsiTheme="minorHAnsi" w:cstheme="minorHAnsi"/>
          <w:color w:val="000000" w:themeColor="text1"/>
          <w:kern w:val="24"/>
        </w:rPr>
        <w:t xml:space="preserve"> effect on the enjoyment of walks, replacing green space with houses.</w:t>
      </w:r>
    </w:p>
    <w:p w14:paraId="4395FB59" w14:textId="05E487A1" w:rsidR="00A230C8" w:rsidRPr="00A230C8" w:rsidRDefault="000E7804" w:rsidP="00A230C8">
      <w:pPr>
        <w:pStyle w:val="NormalWeb"/>
        <w:numPr>
          <w:ilvl w:val="0"/>
          <w:numId w:val="12"/>
        </w:numPr>
        <w:spacing w:before="0" w:beforeAutospacing="0" w:after="0" w:afterAutospacing="0"/>
        <w:rPr>
          <w:rFonts w:asciiTheme="minorHAnsi" w:hAnsiTheme="minorHAnsi" w:cstheme="minorHAnsi"/>
        </w:rPr>
      </w:pPr>
      <w:r>
        <w:rPr>
          <w:rFonts w:asciiTheme="minorHAnsi" w:eastAsiaTheme="minorEastAsia" w:hAnsiTheme="minorHAnsi" w:cstheme="minorHAnsi"/>
          <w:color w:val="000000" w:themeColor="text1"/>
          <w:kern w:val="24"/>
        </w:rPr>
        <w:t>What are the impacts on Local Heritage assets for all of the proposed</w:t>
      </w:r>
      <w:r w:rsidR="00D43F2F">
        <w:rPr>
          <w:rFonts w:asciiTheme="minorHAnsi" w:eastAsiaTheme="minorEastAsia" w:hAnsiTheme="minorHAnsi" w:cstheme="minorHAnsi"/>
          <w:color w:val="000000" w:themeColor="text1"/>
          <w:kern w:val="24"/>
        </w:rPr>
        <w:t xml:space="preserve"> locations</w:t>
      </w:r>
    </w:p>
    <w:p w14:paraId="45D963D9" w14:textId="7CA892EC" w:rsidR="00D43F2F" w:rsidRPr="00D43F2F" w:rsidRDefault="004D0854" w:rsidP="00D43F2F">
      <w:pPr>
        <w:pStyle w:val="NormalWeb"/>
        <w:numPr>
          <w:ilvl w:val="0"/>
          <w:numId w:val="12"/>
        </w:numPr>
        <w:spacing w:before="0" w:beforeAutospacing="0" w:after="0" w:afterAutospacing="0"/>
        <w:rPr>
          <w:rFonts w:asciiTheme="minorHAnsi" w:hAnsiTheme="minorHAnsi" w:cstheme="minorHAnsi"/>
        </w:rPr>
      </w:pPr>
      <w:r w:rsidRPr="009C4FC9">
        <w:rPr>
          <w:rFonts w:asciiTheme="minorHAnsi" w:eastAsiaTheme="minorEastAsia" w:hAnsiTheme="minorHAnsi" w:cstheme="minorHAnsi"/>
          <w:color w:val="000000" w:themeColor="text1"/>
          <w:kern w:val="24"/>
        </w:rPr>
        <w:t>NPPF states that sustainable development should be achieved. There is an obvious lack o</w:t>
      </w:r>
      <w:r w:rsidR="00D43F2F">
        <w:rPr>
          <w:rFonts w:asciiTheme="minorHAnsi" w:eastAsiaTheme="minorEastAsia" w:hAnsiTheme="minorHAnsi" w:cstheme="minorHAnsi"/>
          <w:color w:val="000000" w:themeColor="text1"/>
          <w:kern w:val="24"/>
        </w:rPr>
        <w:t xml:space="preserve">f </w:t>
      </w:r>
      <w:r w:rsidRPr="009C4FC9">
        <w:rPr>
          <w:rFonts w:asciiTheme="minorHAnsi" w:eastAsiaTheme="minorEastAsia" w:hAnsiTheme="minorHAnsi" w:cstheme="minorHAnsi"/>
          <w:color w:val="000000" w:themeColor="text1"/>
          <w:kern w:val="24"/>
        </w:rPr>
        <w:t>definition of w</w:t>
      </w:r>
      <w:r w:rsidR="00D43F2F">
        <w:rPr>
          <w:rFonts w:asciiTheme="minorHAnsi" w:eastAsiaTheme="minorEastAsia" w:hAnsiTheme="minorHAnsi" w:cstheme="minorHAnsi"/>
          <w:color w:val="000000" w:themeColor="text1"/>
          <w:kern w:val="24"/>
        </w:rPr>
        <w:t>hat</w:t>
      </w:r>
      <w:r w:rsidR="00335009">
        <w:rPr>
          <w:rFonts w:asciiTheme="minorHAnsi" w:eastAsiaTheme="minorEastAsia" w:hAnsiTheme="minorHAnsi" w:cstheme="minorHAnsi"/>
          <w:color w:val="000000" w:themeColor="text1"/>
          <w:kern w:val="24"/>
        </w:rPr>
        <w:t xml:space="preserve"> makes a</w:t>
      </w:r>
      <w:r w:rsidRPr="009C4FC9">
        <w:rPr>
          <w:rFonts w:asciiTheme="minorHAnsi" w:eastAsiaTheme="minorEastAsia" w:hAnsiTheme="minorHAnsi" w:cstheme="minorHAnsi"/>
          <w:color w:val="000000" w:themeColor="text1"/>
          <w:kern w:val="24"/>
        </w:rPr>
        <w:t xml:space="preserve"> site a “sustainable location”. </w:t>
      </w:r>
    </w:p>
    <w:p w14:paraId="3395CC53" w14:textId="16166AC7" w:rsidR="004D0854" w:rsidRPr="00D43F2F" w:rsidRDefault="004D0854" w:rsidP="00D43F2F">
      <w:pPr>
        <w:pStyle w:val="NormalWeb"/>
        <w:numPr>
          <w:ilvl w:val="0"/>
          <w:numId w:val="12"/>
        </w:numPr>
        <w:spacing w:before="0" w:beforeAutospacing="0" w:after="0" w:afterAutospacing="0"/>
        <w:rPr>
          <w:rFonts w:asciiTheme="minorHAnsi" w:hAnsiTheme="minorHAnsi" w:cstheme="minorHAnsi"/>
        </w:rPr>
      </w:pPr>
      <w:r w:rsidRPr="00D43F2F">
        <w:rPr>
          <w:rFonts w:asciiTheme="minorHAnsi" w:eastAsiaTheme="minorEastAsia" w:hAnsiTheme="minorHAnsi" w:cstheme="minorHAnsi"/>
          <w:color w:val="000000" w:themeColor="text1"/>
          <w:kern w:val="24"/>
        </w:rPr>
        <w:t xml:space="preserve">NPPF 150. States that if it is necessary to restrict development in a village primarily because of the important contribution which the open character of the village makes to the openness of the Green Belt, the village should be included in the Green Belt. If, however, the character </w:t>
      </w:r>
      <w:r w:rsidRPr="00D43F2F">
        <w:rPr>
          <w:rFonts w:asciiTheme="minorHAnsi" w:eastAsiaTheme="minorEastAsia" w:hAnsiTheme="minorHAnsi" w:cstheme="minorHAnsi"/>
          <w:color w:val="000000" w:themeColor="text1"/>
          <w:kern w:val="24"/>
        </w:rPr>
        <w:lastRenderedPageBreak/>
        <w:t>of the village needs to be protected for other reasons, other means should be used, such as conservation area or normal development management policies, and the village should be excluded from the Green Belt</w:t>
      </w:r>
    </w:p>
    <w:p w14:paraId="2F9CEFDB" w14:textId="77777777" w:rsidR="00B031CE" w:rsidRDefault="004D0854" w:rsidP="00B031CE">
      <w:pPr>
        <w:pStyle w:val="NormalWeb"/>
        <w:numPr>
          <w:ilvl w:val="0"/>
          <w:numId w:val="12"/>
        </w:numPr>
        <w:spacing w:before="0" w:beforeAutospacing="0" w:after="0" w:afterAutospacing="0"/>
        <w:rPr>
          <w:rFonts w:asciiTheme="minorHAnsi" w:hAnsiTheme="minorHAnsi" w:cstheme="minorHAnsi"/>
        </w:rPr>
      </w:pPr>
      <w:r w:rsidRPr="009C4FC9">
        <w:rPr>
          <w:rFonts w:asciiTheme="minorHAnsi" w:eastAsiaTheme="minorEastAsia" w:hAnsiTheme="minorHAnsi" w:cstheme="minorHAnsi"/>
          <w:color w:val="000000" w:themeColor="text1"/>
          <w:kern w:val="24"/>
        </w:rPr>
        <w:t>NPPF 151. States that once Green Belts have been defined, local planning authorities should plan positively to enhance their beneficial use, such as looking for opportunities to provide access; to provide opportunities for outdoor sport and recreation; to retain and enhance landscapes, visual amenity and biodiversity; or to improve damaged and derelict land. This development will remove existing green spaces forever which residents currently have access to including footpath, walks and spatial openness.</w:t>
      </w:r>
    </w:p>
    <w:p w14:paraId="543D1029" w14:textId="77777777" w:rsidR="00D85468" w:rsidRDefault="004D0854" w:rsidP="00D85468">
      <w:pPr>
        <w:pStyle w:val="NormalWeb"/>
        <w:numPr>
          <w:ilvl w:val="0"/>
          <w:numId w:val="12"/>
        </w:numPr>
        <w:spacing w:before="0" w:beforeAutospacing="0" w:after="0" w:afterAutospacing="0"/>
        <w:rPr>
          <w:rFonts w:asciiTheme="minorHAnsi" w:hAnsiTheme="minorHAnsi" w:cstheme="minorHAnsi"/>
        </w:rPr>
      </w:pPr>
      <w:r w:rsidRPr="00B031CE">
        <w:rPr>
          <w:rFonts w:asciiTheme="minorHAnsi" w:eastAsiaTheme="minorEastAsia" w:hAnsiTheme="minorHAnsi" w:cstheme="minorHAnsi"/>
          <w:color w:val="000000" w:themeColor="text1"/>
          <w:kern w:val="24"/>
        </w:rPr>
        <w:t>There would be a detrimental effect on the Carbon Sink opportunities by the loss of open land and the effects of a housing development of this size.</w:t>
      </w:r>
    </w:p>
    <w:p w14:paraId="5122ADBF" w14:textId="77777777" w:rsidR="00D85468" w:rsidRDefault="004D0854" w:rsidP="00D85468">
      <w:pPr>
        <w:pStyle w:val="NormalWeb"/>
        <w:numPr>
          <w:ilvl w:val="0"/>
          <w:numId w:val="12"/>
        </w:numPr>
        <w:spacing w:before="0" w:beforeAutospacing="0" w:after="0" w:afterAutospacing="0"/>
        <w:rPr>
          <w:rFonts w:asciiTheme="minorHAnsi" w:hAnsiTheme="minorHAnsi" w:cstheme="minorHAnsi"/>
        </w:rPr>
      </w:pPr>
      <w:r w:rsidRPr="00D85468">
        <w:rPr>
          <w:rFonts w:asciiTheme="minorHAnsi" w:eastAsiaTheme="minorEastAsia" w:hAnsiTheme="minorHAnsi" w:cstheme="minorHAnsi"/>
          <w:color w:val="000000" w:themeColor="text1"/>
          <w:kern w:val="24"/>
        </w:rPr>
        <w:t xml:space="preserve">This application will and is already having a negative effect on mental health and emotional wellbeing of </w:t>
      </w:r>
      <w:r w:rsidR="00D85468" w:rsidRPr="00D85468">
        <w:rPr>
          <w:rFonts w:asciiTheme="minorHAnsi" w:eastAsiaTheme="minorEastAsia" w:hAnsiTheme="minorHAnsi" w:cstheme="minorHAnsi"/>
          <w:color w:val="000000" w:themeColor="text1"/>
          <w:kern w:val="24"/>
        </w:rPr>
        <w:t>all impacted</w:t>
      </w:r>
      <w:r w:rsidRPr="00D85468">
        <w:rPr>
          <w:rFonts w:asciiTheme="minorHAnsi" w:eastAsiaTheme="minorEastAsia" w:hAnsiTheme="minorHAnsi" w:cstheme="minorHAnsi"/>
          <w:color w:val="000000" w:themeColor="text1"/>
          <w:kern w:val="24"/>
        </w:rPr>
        <w:t xml:space="preserve"> residents</w:t>
      </w:r>
      <w:r w:rsidR="00D85468" w:rsidRPr="00D85468">
        <w:rPr>
          <w:rFonts w:asciiTheme="minorHAnsi" w:eastAsiaTheme="minorEastAsia" w:hAnsiTheme="minorHAnsi" w:cstheme="minorHAnsi"/>
          <w:color w:val="000000" w:themeColor="text1"/>
          <w:kern w:val="24"/>
        </w:rPr>
        <w:t xml:space="preserve"> in the village locations</w:t>
      </w:r>
    </w:p>
    <w:p w14:paraId="213F3C77" w14:textId="1E1C2CEA" w:rsidR="004D0854" w:rsidRPr="00027602" w:rsidRDefault="004D0854" w:rsidP="00D85468">
      <w:pPr>
        <w:pStyle w:val="NormalWeb"/>
        <w:numPr>
          <w:ilvl w:val="0"/>
          <w:numId w:val="12"/>
        </w:numPr>
        <w:spacing w:before="0" w:beforeAutospacing="0" w:after="0" w:afterAutospacing="0"/>
        <w:rPr>
          <w:rFonts w:asciiTheme="minorHAnsi" w:hAnsiTheme="minorHAnsi" w:cstheme="minorHAnsi"/>
        </w:rPr>
      </w:pPr>
      <w:r w:rsidRPr="00D85468">
        <w:rPr>
          <w:rFonts w:asciiTheme="minorHAnsi" w:eastAsiaTheme="minorEastAsia" w:hAnsiTheme="minorHAnsi" w:cstheme="minorHAnsi"/>
          <w:color w:val="000000" w:themeColor="text1"/>
          <w:kern w:val="24"/>
        </w:rPr>
        <w:t>To conserve and enhance the Borough landscape character. This proposal does not promote the conservation or enhancement of the local landscape and is inappropriate development.</w:t>
      </w:r>
    </w:p>
    <w:p w14:paraId="117AA25C" w14:textId="77777777" w:rsidR="00027602" w:rsidRDefault="00027602" w:rsidP="00027602">
      <w:pPr>
        <w:pStyle w:val="CPRE-BodyCopyStyle"/>
        <w:numPr>
          <w:ilvl w:val="0"/>
          <w:numId w:val="12"/>
        </w:numPr>
        <w:jc w:val="both"/>
        <w:rPr>
          <w:rFonts w:cstheme="minorHAnsi"/>
          <w:color w:val="222222"/>
          <w:shd w:val="clear" w:color="auto" w:fill="FFFFFF"/>
        </w:rPr>
      </w:pPr>
      <w:r w:rsidRPr="00384ED7">
        <w:rPr>
          <w:rFonts w:cstheme="minorHAnsi"/>
          <w:color w:val="222222"/>
          <w:shd w:val="clear" w:color="auto" w:fill="FFFFFF"/>
        </w:rPr>
        <w:t>CPRE Derbyshire believes development on the</w:t>
      </w:r>
      <w:r>
        <w:rPr>
          <w:rFonts w:cstheme="minorHAnsi"/>
          <w:color w:val="222222"/>
          <w:shd w:val="clear" w:color="auto" w:fill="FFFFFF"/>
        </w:rPr>
        <w:t>se</w:t>
      </w:r>
      <w:r w:rsidRPr="00384ED7">
        <w:rPr>
          <w:rFonts w:cstheme="minorHAnsi"/>
          <w:color w:val="222222"/>
          <w:shd w:val="clear" w:color="auto" w:fill="FFFFFF"/>
        </w:rPr>
        <w:t xml:space="preserve"> site</w:t>
      </w:r>
      <w:r>
        <w:rPr>
          <w:rFonts w:cstheme="minorHAnsi"/>
          <w:color w:val="222222"/>
          <w:shd w:val="clear" w:color="auto" w:fill="FFFFFF"/>
        </w:rPr>
        <w:t>s</w:t>
      </w:r>
      <w:r w:rsidRPr="00384ED7">
        <w:rPr>
          <w:rFonts w:cstheme="minorHAnsi"/>
          <w:color w:val="222222"/>
          <w:shd w:val="clear" w:color="auto" w:fill="FFFFFF"/>
        </w:rPr>
        <w:t xml:space="preserve"> </w:t>
      </w:r>
      <w:r>
        <w:rPr>
          <w:rFonts w:cstheme="minorHAnsi"/>
          <w:color w:val="222222"/>
          <w:shd w:val="clear" w:color="auto" w:fill="FFFFFF"/>
        </w:rPr>
        <w:t xml:space="preserve">will </w:t>
      </w:r>
      <w:r w:rsidRPr="00384ED7">
        <w:rPr>
          <w:rFonts w:cstheme="minorHAnsi"/>
          <w:color w:val="222222"/>
          <w:shd w:val="clear" w:color="auto" w:fill="FFFFFF"/>
        </w:rPr>
        <w:t xml:space="preserve">set a precedence for future developments on and beyond the settlement boundary of </w:t>
      </w:r>
      <w:r>
        <w:rPr>
          <w:rFonts w:cstheme="minorHAnsi"/>
          <w:color w:val="222222"/>
          <w:shd w:val="clear" w:color="auto" w:fill="FFFFFF"/>
        </w:rPr>
        <w:t>these villages as they stand today.</w:t>
      </w:r>
    </w:p>
    <w:p w14:paraId="2072B15C" w14:textId="77777777" w:rsidR="00E261DD" w:rsidRDefault="00E261DD" w:rsidP="00E261DD">
      <w:pPr>
        <w:pStyle w:val="CPRE-BodyCopyStyle"/>
        <w:ind w:left="0"/>
        <w:jc w:val="both"/>
        <w:rPr>
          <w:rFonts w:cstheme="minorHAnsi"/>
          <w:color w:val="222222"/>
          <w:shd w:val="clear" w:color="auto" w:fill="FFFFFF"/>
        </w:rPr>
      </w:pPr>
    </w:p>
    <w:p w14:paraId="10ABBEE4" w14:textId="08DA1519" w:rsidR="004D0854" w:rsidRDefault="00E261DD" w:rsidP="00516444">
      <w:pPr>
        <w:ind w:firstLine="720"/>
      </w:pPr>
      <w:hyperlink r:id="rId13" w:history="1">
        <w:r w:rsidRPr="00E261DD">
          <w:rPr>
            <w:color w:val="0000FF"/>
            <w:u w:val="single"/>
          </w:rPr>
          <w:t>State-of-the-Green-Belt-2023-online.pdf</w:t>
        </w:r>
      </w:hyperlink>
    </w:p>
    <w:p w14:paraId="0F203B03" w14:textId="77777777" w:rsidR="00E261DD" w:rsidRPr="009C4FC9" w:rsidRDefault="00E261DD" w:rsidP="004D0854">
      <w:pPr>
        <w:rPr>
          <w:rFonts w:cstheme="minorHAnsi"/>
        </w:rPr>
      </w:pPr>
    </w:p>
    <w:p w14:paraId="0CA9BDBA" w14:textId="3B06862B" w:rsidR="004D0854" w:rsidRDefault="004D0854" w:rsidP="008D599A">
      <w:pPr>
        <w:pStyle w:val="ListParagraph"/>
        <w:rPr>
          <w:rFonts w:cstheme="minorHAnsi"/>
          <w:b/>
          <w:bCs/>
          <w:color w:val="000000" w:themeColor="text1"/>
          <w:kern w:val="24"/>
          <w:lang w:eastAsia="en-GB"/>
        </w:rPr>
      </w:pPr>
      <w:r w:rsidRPr="009C4FC9">
        <w:rPr>
          <w:rFonts w:cstheme="minorHAnsi"/>
          <w:b/>
          <w:bCs/>
          <w:color w:val="000000" w:themeColor="text1"/>
          <w:kern w:val="24"/>
          <w:lang w:eastAsia="en-GB"/>
        </w:rPr>
        <w:t>Number of Houses</w:t>
      </w:r>
    </w:p>
    <w:p w14:paraId="4DA33BDB" w14:textId="77777777" w:rsidR="00427F28" w:rsidRPr="008D599A" w:rsidRDefault="00427F28" w:rsidP="008D599A">
      <w:pPr>
        <w:pStyle w:val="ListParagraph"/>
        <w:rPr>
          <w:rFonts w:cstheme="minorHAnsi"/>
          <w:b/>
          <w:bCs/>
          <w:color w:val="000000" w:themeColor="text1"/>
          <w:kern w:val="24"/>
          <w:lang w:eastAsia="en-GB"/>
        </w:rPr>
      </w:pPr>
    </w:p>
    <w:p w14:paraId="6FE68A26" w14:textId="0BCF17E4" w:rsidR="004D0854" w:rsidRPr="00E5681B" w:rsidRDefault="009C4FC9" w:rsidP="00DC266A">
      <w:pPr>
        <w:pStyle w:val="ListParagraph"/>
        <w:numPr>
          <w:ilvl w:val="0"/>
          <w:numId w:val="7"/>
        </w:numPr>
        <w:rPr>
          <w:rFonts w:eastAsia="Times New Roman" w:cstheme="minorHAnsi"/>
          <w:lang w:eastAsia="en-GB"/>
        </w:rPr>
      </w:pPr>
      <w:r w:rsidRPr="00E5681B">
        <w:rPr>
          <w:rFonts w:cstheme="minorHAnsi"/>
          <w:color w:val="000000" w:themeColor="text1"/>
          <w:kern w:val="24"/>
          <w:lang w:eastAsia="en-GB"/>
        </w:rPr>
        <w:t>All of the proposed sites have direct access to footpaths and nearby bridlepath</w:t>
      </w:r>
      <w:r w:rsidR="00E5681B">
        <w:rPr>
          <w:rFonts w:cstheme="minorHAnsi"/>
          <w:color w:val="000000" w:themeColor="text1"/>
          <w:kern w:val="24"/>
          <w:lang w:eastAsia="en-GB"/>
        </w:rPr>
        <w:t>s</w:t>
      </w:r>
      <w:r w:rsidRPr="00E5681B">
        <w:rPr>
          <w:rFonts w:cstheme="minorHAnsi"/>
          <w:color w:val="000000" w:themeColor="text1"/>
          <w:kern w:val="24"/>
          <w:lang w:eastAsia="en-GB"/>
        </w:rPr>
        <w:t xml:space="preserve">. This allows for </w:t>
      </w:r>
      <w:r w:rsidR="004D0854" w:rsidRPr="00E5681B">
        <w:rPr>
          <w:rFonts w:cstheme="minorHAnsi"/>
          <w:color w:val="000000" w:themeColor="text1"/>
          <w:kern w:val="24"/>
          <w:lang w:eastAsia="en-GB"/>
        </w:rPr>
        <w:t xml:space="preserve"> simple and accessible access to the countryside </w:t>
      </w:r>
      <w:r w:rsidR="00DB379D">
        <w:rPr>
          <w:rFonts w:cstheme="minorHAnsi"/>
          <w:color w:val="000000" w:themeColor="text1"/>
          <w:kern w:val="24"/>
          <w:lang w:eastAsia="en-GB"/>
        </w:rPr>
        <w:t>from</w:t>
      </w:r>
      <w:r w:rsidR="004D0854" w:rsidRPr="00E5681B">
        <w:rPr>
          <w:rFonts w:cstheme="minorHAnsi"/>
          <w:color w:val="000000" w:themeColor="text1"/>
          <w:kern w:val="24"/>
          <w:lang w:eastAsia="en-GB"/>
        </w:rPr>
        <w:t xml:space="preserve"> the surrounding villages . </w:t>
      </w:r>
      <w:r w:rsidRPr="00E5681B">
        <w:rPr>
          <w:rFonts w:cstheme="minorHAnsi"/>
          <w:color w:val="000000" w:themeColor="text1"/>
          <w:kern w:val="24"/>
          <w:lang w:eastAsia="en-GB"/>
        </w:rPr>
        <w:t>All of the villages have</w:t>
      </w:r>
      <w:r w:rsidR="004D0854" w:rsidRPr="00E5681B">
        <w:rPr>
          <w:rFonts w:cstheme="minorHAnsi"/>
          <w:color w:val="000000" w:themeColor="text1"/>
          <w:kern w:val="24"/>
          <w:lang w:eastAsia="en-GB"/>
        </w:rPr>
        <w:t xml:space="preserve">  thriving </w:t>
      </w:r>
      <w:r w:rsidRPr="00E5681B">
        <w:rPr>
          <w:rFonts w:cstheme="minorHAnsi"/>
          <w:color w:val="000000" w:themeColor="text1"/>
          <w:kern w:val="24"/>
          <w:lang w:eastAsia="en-GB"/>
        </w:rPr>
        <w:t>communities</w:t>
      </w:r>
      <w:r w:rsidR="004D0854" w:rsidRPr="00E5681B">
        <w:rPr>
          <w:rFonts w:cstheme="minorHAnsi"/>
          <w:color w:val="000000" w:themeColor="text1"/>
          <w:kern w:val="24"/>
          <w:lang w:eastAsia="en-GB"/>
        </w:rPr>
        <w:t>, keen cyclists</w:t>
      </w:r>
      <w:r w:rsidRPr="00E5681B">
        <w:rPr>
          <w:rFonts w:cstheme="minorHAnsi"/>
          <w:color w:val="000000" w:themeColor="text1"/>
          <w:kern w:val="24"/>
          <w:lang w:eastAsia="en-GB"/>
        </w:rPr>
        <w:t>, horse riders</w:t>
      </w:r>
      <w:r w:rsidR="004D0854" w:rsidRPr="00E5681B">
        <w:rPr>
          <w:rFonts w:cstheme="minorHAnsi"/>
          <w:color w:val="000000" w:themeColor="text1"/>
          <w:kern w:val="24"/>
          <w:lang w:eastAsia="en-GB"/>
        </w:rPr>
        <w:t xml:space="preserve"> and numerous walking and rambler groups. They all happily coexist and share these paths throughout the locality. Increased urbanisation and the increase in traffic will impact this from Day 1. The village</w:t>
      </w:r>
      <w:r w:rsidRPr="00E5681B">
        <w:rPr>
          <w:rFonts w:cstheme="minorHAnsi"/>
          <w:color w:val="000000" w:themeColor="text1"/>
          <w:kern w:val="24"/>
          <w:lang w:eastAsia="en-GB"/>
        </w:rPr>
        <w:t>s</w:t>
      </w:r>
      <w:r w:rsidR="004D0854" w:rsidRPr="00E5681B">
        <w:rPr>
          <w:rFonts w:cstheme="minorHAnsi"/>
          <w:color w:val="000000" w:themeColor="text1"/>
          <w:kern w:val="24"/>
          <w:lang w:eastAsia="en-GB"/>
        </w:rPr>
        <w:t xml:space="preserve"> will lose </w:t>
      </w:r>
      <w:r w:rsidRPr="00E5681B">
        <w:rPr>
          <w:rFonts w:cstheme="minorHAnsi"/>
          <w:color w:val="000000" w:themeColor="text1"/>
          <w:kern w:val="24"/>
          <w:lang w:eastAsia="en-GB"/>
        </w:rPr>
        <w:t xml:space="preserve">their </w:t>
      </w:r>
      <w:r w:rsidR="004D0854" w:rsidRPr="00E5681B">
        <w:rPr>
          <w:rFonts w:cstheme="minorHAnsi"/>
          <w:color w:val="000000" w:themeColor="text1"/>
          <w:kern w:val="24"/>
          <w:lang w:eastAsia="en-GB"/>
        </w:rPr>
        <w:t xml:space="preserve">rural identity and risk morphing into </w:t>
      </w:r>
      <w:r w:rsidRPr="00E5681B">
        <w:rPr>
          <w:rFonts w:cstheme="minorHAnsi"/>
          <w:color w:val="000000" w:themeColor="text1"/>
          <w:kern w:val="24"/>
          <w:lang w:eastAsia="en-GB"/>
        </w:rPr>
        <w:t xml:space="preserve">combined towns. This is a real risk for  </w:t>
      </w:r>
      <w:r w:rsidR="0046342E" w:rsidRPr="00E5681B">
        <w:rPr>
          <w:rFonts w:cstheme="minorHAnsi"/>
          <w:color w:val="000000" w:themeColor="text1"/>
          <w:kern w:val="24"/>
          <w:lang w:eastAsia="en-GB"/>
        </w:rPr>
        <w:t xml:space="preserve">Breadsall Top and </w:t>
      </w:r>
      <w:r w:rsidR="003D470E" w:rsidRPr="00E5681B">
        <w:rPr>
          <w:rFonts w:cstheme="minorHAnsi"/>
          <w:color w:val="000000" w:themeColor="text1"/>
          <w:kern w:val="24"/>
          <w:lang w:eastAsia="en-GB"/>
        </w:rPr>
        <w:t>Derby City limits</w:t>
      </w:r>
      <w:r w:rsidR="007841DA" w:rsidRPr="00E5681B">
        <w:rPr>
          <w:rFonts w:cstheme="minorHAnsi"/>
          <w:color w:val="000000" w:themeColor="text1"/>
          <w:kern w:val="24"/>
          <w:lang w:eastAsia="en-GB"/>
        </w:rPr>
        <w:t xml:space="preserve"> and </w:t>
      </w:r>
      <w:r w:rsidR="00160E29">
        <w:rPr>
          <w:rFonts w:cstheme="minorHAnsi"/>
          <w:color w:val="000000" w:themeColor="text1"/>
          <w:kern w:val="24"/>
          <w:lang w:eastAsia="en-GB"/>
        </w:rPr>
        <w:t xml:space="preserve">between </w:t>
      </w:r>
      <w:r w:rsidR="007841DA" w:rsidRPr="00E5681B">
        <w:rPr>
          <w:rFonts w:cstheme="minorHAnsi"/>
          <w:color w:val="000000" w:themeColor="text1"/>
          <w:kern w:val="24"/>
          <w:lang w:eastAsia="en-GB"/>
        </w:rPr>
        <w:t>Draycott,</w:t>
      </w:r>
      <w:r w:rsidR="004D0854" w:rsidRPr="00E5681B">
        <w:rPr>
          <w:rFonts w:cstheme="minorHAnsi"/>
          <w:color w:val="000000" w:themeColor="text1"/>
          <w:kern w:val="24"/>
          <w:lang w:eastAsia="en-GB"/>
        </w:rPr>
        <w:t xml:space="preserve"> Breaston and Borrowash.</w:t>
      </w:r>
      <w:r w:rsidR="008D599A" w:rsidRPr="00E5681B">
        <w:rPr>
          <w:rFonts w:cstheme="minorHAnsi"/>
          <w:color w:val="000000" w:themeColor="text1"/>
          <w:kern w:val="24"/>
          <w:lang w:eastAsia="en-GB"/>
        </w:rPr>
        <w:t xml:space="preserve"> </w:t>
      </w:r>
    </w:p>
    <w:p w14:paraId="3AA43F71" w14:textId="4DCF0DC7" w:rsidR="004D0854" w:rsidRPr="00DA10E2" w:rsidRDefault="004D0854" w:rsidP="00160E29">
      <w:pPr>
        <w:pStyle w:val="ListParagraph"/>
        <w:numPr>
          <w:ilvl w:val="0"/>
          <w:numId w:val="7"/>
        </w:numPr>
        <w:rPr>
          <w:rFonts w:eastAsia="Times New Roman" w:cstheme="minorHAnsi"/>
          <w:lang w:eastAsia="en-GB"/>
        </w:rPr>
      </w:pPr>
      <w:r w:rsidRPr="009C4FC9">
        <w:rPr>
          <w:rFonts w:cstheme="minorHAnsi"/>
          <w:color w:val="000000" w:themeColor="text1"/>
          <w:kern w:val="24"/>
          <w:lang w:eastAsia="en-GB"/>
        </w:rPr>
        <w:t>The scale of the development</w:t>
      </w:r>
      <w:r w:rsidR="007841DA">
        <w:rPr>
          <w:rFonts w:cstheme="minorHAnsi"/>
          <w:color w:val="000000" w:themeColor="text1"/>
          <w:kern w:val="24"/>
          <w:lang w:eastAsia="en-GB"/>
        </w:rPr>
        <w:t>s</w:t>
      </w:r>
      <w:r w:rsidRPr="009C4FC9">
        <w:rPr>
          <w:rFonts w:cstheme="minorHAnsi"/>
          <w:color w:val="000000" w:themeColor="text1"/>
          <w:kern w:val="24"/>
          <w:lang w:eastAsia="en-GB"/>
        </w:rPr>
        <w:t xml:space="preserve"> is </w:t>
      </w:r>
      <w:r w:rsidR="007841DA">
        <w:rPr>
          <w:rFonts w:cstheme="minorHAnsi"/>
          <w:color w:val="000000" w:themeColor="text1"/>
          <w:kern w:val="24"/>
          <w:lang w:eastAsia="en-GB"/>
        </w:rPr>
        <w:t>not</w:t>
      </w:r>
      <w:r w:rsidRPr="009C4FC9">
        <w:rPr>
          <w:rFonts w:cstheme="minorHAnsi"/>
          <w:color w:val="000000" w:themeColor="text1"/>
          <w:kern w:val="24"/>
          <w:lang w:eastAsia="en-GB"/>
        </w:rPr>
        <w:t xml:space="preserve"> in keeping with the character of the village</w:t>
      </w:r>
      <w:r w:rsidR="007841DA">
        <w:rPr>
          <w:rFonts w:cstheme="minorHAnsi"/>
          <w:color w:val="000000" w:themeColor="text1"/>
          <w:kern w:val="24"/>
          <w:lang w:eastAsia="en-GB"/>
        </w:rPr>
        <w:t>s</w:t>
      </w:r>
      <w:r w:rsidRPr="009C4FC9">
        <w:rPr>
          <w:rFonts w:cstheme="minorHAnsi"/>
          <w:color w:val="000000" w:themeColor="text1"/>
          <w:kern w:val="24"/>
          <w:lang w:eastAsia="en-GB"/>
        </w:rPr>
        <w:t xml:space="preserve">. The proposed development should follow existing settlement patterns. New buildings and the volume of housing should harmonise with the neighbourhood,  retain local character and the retention of open spaces as is the character of the village. Views into and out of the village should be preserved. </w:t>
      </w:r>
    </w:p>
    <w:p w14:paraId="1E97E3DC" w14:textId="375949CE" w:rsidR="004D0854" w:rsidRPr="00DF7EEE" w:rsidRDefault="004D0854" w:rsidP="00DA10E2">
      <w:pPr>
        <w:pStyle w:val="ListParagraph"/>
        <w:numPr>
          <w:ilvl w:val="0"/>
          <w:numId w:val="7"/>
        </w:numPr>
        <w:rPr>
          <w:rFonts w:eastAsia="Times New Roman" w:cstheme="minorHAnsi"/>
          <w:lang w:eastAsia="en-GB"/>
        </w:rPr>
      </w:pPr>
      <w:r w:rsidRPr="009C4FC9">
        <w:rPr>
          <w:rFonts w:cstheme="minorHAnsi"/>
          <w:color w:val="000000" w:themeColor="text1"/>
          <w:kern w:val="24"/>
          <w:lang w:eastAsia="en-GB"/>
        </w:rPr>
        <w:t xml:space="preserve">NPPF 73. States that the authority should identify, through the development plan and brownfield registers, land to accommodate at least 10% of their housing requirement on sites no larger than one hectare; unless it can be shown, through the preparation of relevant plan policies, that there are strong reasons why this 10% target cannot be achieved. Within Erewash there are </w:t>
      </w:r>
      <w:r w:rsidRPr="009C4FC9">
        <w:rPr>
          <w:rFonts w:cstheme="minorHAnsi"/>
          <w:b/>
          <w:bCs/>
          <w:color w:val="000000" w:themeColor="text1"/>
          <w:kern w:val="24"/>
          <w:lang w:eastAsia="en-GB"/>
        </w:rPr>
        <w:t>109</w:t>
      </w:r>
      <w:r w:rsidRPr="009C4FC9">
        <w:rPr>
          <w:rFonts w:cstheme="minorHAnsi"/>
          <w:color w:val="000000" w:themeColor="text1"/>
          <w:kern w:val="24"/>
          <w:lang w:eastAsia="en-GB"/>
        </w:rPr>
        <w:t xml:space="preserve"> Brownfield sites  detailed on the last EBC Brownfield Register 2024, with </w:t>
      </w:r>
      <w:r w:rsidRPr="009C4FC9">
        <w:rPr>
          <w:rFonts w:cstheme="minorHAnsi"/>
          <w:b/>
          <w:bCs/>
          <w:color w:val="000000" w:themeColor="text1"/>
          <w:kern w:val="24"/>
          <w:lang w:eastAsia="en-GB"/>
        </w:rPr>
        <w:t>103</w:t>
      </w:r>
      <w:r w:rsidRPr="009C4FC9">
        <w:rPr>
          <w:rFonts w:cstheme="minorHAnsi"/>
          <w:color w:val="000000" w:themeColor="text1"/>
          <w:kern w:val="24"/>
          <w:lang w:eastAsia="en-GB"/>
        </w:rPr>
        <w:t xml:space="preserve"> of these having full planning consent. Of these sites, </w:t>
      </w:r>
      <w:r w:rsidRPr="009C4FC9">
        <w:rPr>
          <w:rFonts w:cstheme="minorHAnsi"/>
          <w:b/>
          <w:bCs/>
          <w:color w:val="000000" w:themeColor="text1"/>
          <w:kern w:val="24"/>
          <w:lang w:eastAsia="en-GB"/>
        </w:rPr>
        <w:t>8</w:t>
      </w:r>
      <w:r w:rsidRPr="009C4FC9">
        <w:rPr>
          <w:rFonts w:cstheme="minorHAnsi"/>
          <w:color w:val="000000" w:themeColor="text1"/>
          <w:kern w:val="24"/>
          <w:lang w:eastAsia="en-GB"/>
        </w:rPr>
        <w:t xml:space="preserve"> are over 1H each, giving the ability to develop over 500 houses. Why are these sites not being prioritised first over Green Belt land.</w:t>
      </w:r>
    </w:p>
    <w:p w14:paraId="6F2A684C" w14:textId="77777777" w:rsidR="00DF7EEE" w:rsidRPr="00DA10E2" w:rsidRDefault="00DF7EEE" w:rsidP="00DF7EEE">
      <w:pPr>
        <w:pStyle w:val="ListParagraph"/>
        <w:ind w:left="1440"/>
        <w:rPr>
          <w:rFonts w:eastAsia="Times New Roman" w:cstheme="minorHAnsi"/>
          <w:lang w:eastAsia="en-GB"/>
        </w:rPr>
      </w:pPr>
    </w:p>
    <w:p w14:paraId="02E57561" w14:textId="37BA394A" w:rsidR="004D0854" w:rsidRDefault="004D0854" w:rsidP="00B751FD">
      <w:pPr>
        <w:ind w:left="720" w:firstLine="360"/>
        <w:rPr>
          <w:rFonts w:cstheme="minorHAnsi"/>
          <w:b/>
          <w:bCs/>
          <w:color w:val="000000" w:themeColor="text1"/>
          <w:kern w:val="24"/>
          <w:lang w:eastAsia="en-GB"/>
        </w:rPr>
      </w:pPr>
      <w:r w:rsidRPr="009C4FC9">
        <w:rPr>
          <w:rFonts w:cstheme="minorHAnsi"/>
          <w:b/>
          <w:bCs/>
          <w:color w:val="000000" w:themeColor="text1"/>
          <w:kern w:val="24"/>
          <w:lang w:eastAsia="en-GB"/>
        </w:rPr>
        <w:t>Type of Houses</w:t>
      </w:r>
    </w:p>
    <w:p w14:paraId="3E74D76A" w14:textId="77777777" w:rsidR="00DF7EEE" w:rsidRPr="008D599A" w:rsidRDefault="00DF7EEE" w:rsidP="00B751FD">
      <w:pPr>
        <w:ind w:left="720" w:firstLine="360"/>
        <w:rPr>
          <w:rFonts w:cstheme="minorHAnsi"/>
          <w:b/>
          <w:bCs/>
          <w:color w:val="000000" w:themeColor="text1"/>
          <w:kern w:val="24"/>
          <w:lang w:eastAsia="en-GB"/>
        </w:rPr>
      </w:pPr>
    </w:p>
    <w:p w14:paraId="48BF60F6" w14:textId="62B20707" w:rsidR="004C5294" w:rsidRPr="009C4FC9" w:rsidRDefault="004D0854" w:rsidP="00271DCC">
      <w:pPr>
        <w:pStyle w:val="ListParagraph"/>
        <w:numPr>
          <w:ilvl w:val="0"/>
          <w:numId w:val="6"/>
        </w:numPr>
        <w:rPr>
          <w:rFonts w:eastAsia="Times New Roman" w:cstheme="minorHAnsi"/>
          <w:lang w:eastAsia="en-GB"/>
        </w:rPr>
      </w:pPr>
      <w:r w:rsidRPr="009C4FC9">
        <w:rPr>
          <w:rFonts w:cstheme="minorHAnsi"/>
          <w:color w:val="000000" w:themeColor="text1"/>
          <w:kern w:val="24"/>
          <w:lang w:eastAsia="en-GB"/>
        </w:rPr>
        <w:lastRenderedPageBreak/>
        <w:t xml:space="preserve">The proposed </w:t>
      </w:r>
      <w:r w:rsidR="007C1E28" w:rsidRPr="009C4FC9">
        <w:rPr>
          <w:rFonts w:cstheme="minorHAnsi"/>
          <w:color w:val="000000" w:themeColor="text1"/>
          <w:kern w:val="24"/>
          <w:lang w:eastAsia="en-GB"/>
        </w:rPr>
        <w:t>percentages of</w:t>
      </w:r>
      <w:r w:rsidRPr="009C4FC9">
        <w:rPr>
          <w:rFonts w:cstheme="minorHAnsi"/>
          <w:color w:val="000000" w:themeColor="text1"/>
          <w:kern w:val="24"/>
          <w:lang w:eastAsia="en-GB"/>
        </w:rPr>
        <w:t xml:space="preserve"> affordable housing within the development</w:t>
      </w:r>
      <w:r w:rsidR="007C1E28" w:rsidRPr="009C4FC9">
        <w:rPr>
          <w:rFonts w:cstheme="minorHAnsi"/>
          <w:color w:val="000000" w:themeColor="text1"/>
          <w:kern w:val="24"/>
          <w:lang w:eastAsia="en-GB"/>
        </w:rPr>
        <w:t>s</w:t>
      </w:r>
      <w:r w:rsidRPr="009C4FC9">
        <w:rPr>
          <w:rFonts w:cstheme="minorHAnsi"/>
          <w:color w:val="000000" w:themeColor="text1"/>
          <w:kern w:val="24"/>
          <w:lang w:eastAsia="en-GB"/>
        </w:rPr>
        <w:t xml:space="preserve"> is </w:t>
      </w:r>
      <w:r w:rsidR="00DF7EEE">
        <w:rPr>
          <w:rFonts w:cstheme="minorHAnsi"/>
          <w:color w:val="000000" w:themeColor="text1"/>
          <w:kern w:val="24"/>
          <w:lang w:eastAsia="en-GB"/>
        </w:rPr>
        <w:t>stated as 40%</w:t>
      </w:r>
      <w:r w:rsidR="00271DCC">
        <w:rPr>
          <w:rFonts w:cstheme="minorHAnsi"/>
          <w:color w:val="000000" w:themeColor="text1"/>
          <w:kern w:val="24"/>
          <w:lang w:eastAsia="en-GB"/>
        </w:rPr>
        <w:t xml:space="preserve"> . How will this figure be achieved </w:t>
      </w:r>
    </w:p>
    <w:p w14:paraId="476699C9" w14:textId="510026AC" w:rsidR="004D0854" w:rsidRPr="009C4FC9" w:rsidRDefault="00882B0C" w:rsidP="004C5294">
      <w:pPr>
        <w:pStyle w:val="ListParagraph"/>
        <w:numPr>
          <w:ilvl w:val="0"/>
          <w:numId w:val="6"/>
        </w:numPr>
        <w:rPr>
          <w:rFonts w:eastAsia="Times New Roman" w:cstheme="minorHAnsi"/>
          <w:lang w:eastAsia="en-GB"/>
        </w:rPr>
      </w:pPr>
      <w:r>
        <w:rPr>
          <w:rFonts w:cstheme="minorHAnsi"/>
          <w:color w:val="000000" w:themeColor="text1"/>
          <w:kern w:val="24"/>
          <w:lang w:eastAsia="en-GB"/>
        </w:rPr>
        <w:t>How will the</w:t>
      </w:r>
      <w:r w:rsidR="004D0854" w:rsidRPr="009C4FC9">
        <w:rPr>
          <w:rFonts w:cstheme="minorHAnsi"/>
          <w:color w:val="000000" w:themeColor="text1"/>
          <w:kern w:val="24"/>
          <w:lang w:eastAsia="en-GB"/>
        </w:rPr>
        <w:t xml:space="preserve"> need for affordable housing  be fulfilled by developing on </w:t>
      </w:r>
      <w:r w:rsidR="004C5294" w:rsidRPr="009C4FC9">
        <w:rPr>
          <w:rFonts w:cstheme="minorHAnsi"/>
          <w:color w:val="000000" w:themeColor="text1"/>
          <w:kern w:val="24"/>
          <w:lang w:eastAsia="en-GB"/>
        </w:rPr>
        <w:t>these greenbelt village locations</w:t>
      </w:r>
      <w:r w:rsidR="004D0854" w:rsidRPr="009C4FC9">
        <w:rPr>
          <w:rFonts w:cstheme="minorHAnsi"/>
          <w:color w:val="000000" w:themeColor="text1"/>
          <w:kern w:val="24"/>
          <w:lang w:eastAsia="en-GB"/>
        </w:rPr>
        <w:t xml:space="preserve"> </w:t>
      </w:r>
      <w:r>
        <w:rPr>
          <w:rFonts w:cstheme="minorHAnsi"/>
          <w:color w:val="000000" w:themeColor="text1"/>
          <w:kern w:val="24"/>
          <w:lang w:eastAsia="en-GB"/>
        </w:rPr>
        <w:t xml:space="preserve">where </w:t>
      </w:r>
      <w:r w:rsidR="004D0854" w:rsidRPr="009C4FC9">
        <w:rPr>
          <w:rFonts w:cstheme="minorHAnsi"/>
          <w:color w:val="000000" w:themeColor="text1"/>
          <w:kern w:val="24"/>
          <w:lang w:eastAsia="en-GB"/>
        </w:rPr>
        <w:t xml:space="preserve">local property values for new build </w:t>
      </w:r>
      <w:r w:rsidR="004C5294" w:rsidRPr="009C4FC9">
        <w:rPr>
          <w:rFonts w:cstheme="minorHAnsi"/>
          <w:color w:val="000000" w:themeColor="text1"/>
          <w:kern w:val="24"/>
          <w:lang w:eastAsia="en-GB"/>
        </w:rPr>
        <w:t>properties</w:t>
      </w:r>
      <w:r w:rsidR="004D0854" w:rsidRPr="009C4FC9">
        <w:rPr>
          <w:rFonts w:cstheme="minorHAnsi"/>
          <w:color w:val="000000" w:themeColor="text1"/>
          <w:kern w:val="24"/>
          <w:lang w:eastAsia="en-GB"/>
        </w:rPr>
        <w:t xml:space="preserve"> currently start</w:t>
      </w:r>
      <w:r w:rsidR="00610FEE">
        <w:rPr>
          <w:rFonts w:cstheme="minorHAnsi"/>
          <w:color w:val="000000" w:themeColor="text1"/>
          <w:kern w:val="24"/>
          <w:lang w:eastAsia="en-GB"/>
        </w:rPr>
        <w:t>s</w:t>
      </w:r>
      <w:r w:rsidR="004D0854" w:rsidRPr="009C4FC9">
        <w:rPr>
          <w:rFonts w:cstheme="minorHAnsi"/>
          <w:color w:val="000000" w:themeColor="text1"/>
          <w:kern w:val="24"/>
          <w:lang w:eastAsia="en-GB"/>
        </w:rPr>
        <w:t xml:space="preserve"> at circa £300,000.</w:t>
      </w:r>
    </w:p>
    <w:p w14:paraId="46269C8B" w14:textId="1818F269" w:rsidR="004D0854" w:rsidRPr="009C4FC9" w:rsidRDefault="004D0854" w:rsidP="004D0854">
      <w:pPr>
        <w:rPr>
          <w:rFonts w:cstheme="minorHAnsi"/>
          <w:color w:val="000000" w:themeColor="text1"/>
          <w:kern w:val="24"/>
          <w:lang w:eastAsia="en-GB"/>
        </w:rPr>
      </w:pPr>
    </w:p>
    <w:p w14:paraId="556BFB34" w14:textId="77777777" w:rsidR="004D0854" w:rsidRPr="00597C87" w:rsidRDefault="004D0854" w:rsidP="004D0854">
      <w:pPr>
        <w:pStyle w:val="NormalWeb"/>
        <w:spacing w:before="0" w:beforeAutospacing="0" w:after="0" w:afterAutospacing="0"/>
        <w:rPr>
          <w:rFonts w:asciiTheme="minorHAnsi" w:hAnsiTheme="minorHAnsi" w:cstheme="minorHAnsi"/>
        </w:rPr>
      </w:pPr>
    </w:p>
    <w:p w14:paraId="5757A351" w14:textId="68540404" w:rsidR="00825E77" w:rsidRPr="004C004F" w:rsidRDefault="00AE39C2" w:rsidP="003224D8">
      <w:pPr>
        <w:pStyle w:val="NormalWeb"/>
        <w:ind w:left="360" w:firstLine="360"/>
        <w:rPr>
          <w:rFonts w:asciiTheme="minorHAnsi" w:eastAsiaTheme="minorEastAsia" w:hAnsiTheme="minorHAnsi" w:cstheme="minorHAnsi"/>
          <w:color w:val="222222"/>
          <w:shd w:val="clear" w:color="auto" w:fill="FFFFFF"/>
          <w:lang w:eastAsia="en-US"/>
        </w:rPr>
      </w:pPr>
      <w:r>
        <w:rPr>
          <w:rFonts w:asciiTheme="minorHAnsi" w:eastAsiaTheme="minorEastAsia" w:hAnsiTheme="minorHAnsi" w:cstheme="minorHAnsi"/>
          <w:color w:val="222222"/>
          <w:shd w:val="clear" w:color="auto" w:fill="FFFFFF"/>
          <w:lang w:eastAsia="en-US"/>
        </w:rPr>
        <w:t>I would appreciate a</w:t>
      </w:r>
      <w:r w:rsidR="003E02BB">
        <w:rPr>
          <w:rFonts w:asciiTheme="minorHAnsi" w:eastAsiaTheme="minorEastAsia" w:hAnsiTheme="minorHAnsi" w:cstheme="minorHAnsi"/>
          <w:color w:val="222222"/>
          <w:shd w:val="clear" w:color="auto" w:fill="FFFFFF"/>
          <w:lang w:eastAsia="en-US"/>
        </w:rPr>
        <w:t xml:space="preserve"> timely</w:t>
      </w:r>
      <w:r>
        <w:rPr>
          <w:rFonts w:asciiTheme="minorHAnsi" w:eastAsiaTheme="minorEastAsia" w:hAnsiTheme="minorHAnsi" w:cstheme="minorHAnsi"/>
          <w:color w:val="222222"/>
          <w:shd w:val="clear" w:color="auto" w:fill="FFFFFF"/>
          <w:lang w:eastAsia="en-US"/>
        </w:rPr>
        <w:t xml:space="preserve"> response </w:t>
      </w:r>
      <w:r w:rsidR="004C004F">
        <w:rPr>
          <w:rFonts w:asciiTheme="minorHAnsi" w:eastAsiaTheme="minorEastAsia" w:hAnsiTheme="minorHAnsi" w:cstheme="minorHAnsi"/>
          <w:color w:val="222222"/>
          <w:shd w:val="clear" w:color="auto" w:fill="FFFFFF"/>
          <w:lang w:eastAsia="en-US"/>
        </w:rPr>
        <w:t xml:space="preserve">to allow for </w:t>
      </w:r>
      <w:r w:rsidR="00141509">
        <w:rPr>
          <w:rFonts w:asciiTheme="minorHAnsi" w:eastAsiaTheme="minorEastAsia" w:hAnsiTheme="minorHAnsi" w:cstheme="minorHAnsi"/>
          <w:color w:val="222222"/>
          <w:shd w:val="clear" w:color="auto" w:fill="FFFFFF"/>
          <w:lang w:eastAsia="en-US"/>
        </w:rPr>
        <w:t>review</w:t>
      </w:r>
      <w:r w:rsidR="004C004F">
        <w:rPr>
          <w:rFonts w:asciiTheme="minorHAnsi" w:eastAsiaTheme="minorEastAsia" w:hAnsiTheme="minorHAnsi" w:cstheme="minorHAnsi"/>
          <w:color w:val="222222"/>
          <w:shd w:val="clear" w:color="auto" w:fill="FFFFFF"/>
          <w:lang w:eastAsia="en-US"/>
        </w:rPr>
        <w:t xml:space="preserve"> and </w:t>
      </w:r>
      <w:r w:rsidR="00141509">
        <w:rPr>
          <w:rFonts w:asciiTheme="minorHAnsi" w:eastAsiaTheme="minorEastAsia" w:hAnsiTheme="minorHAnsi" w:cstheme="minorHAnsi"/>
          <w:color w:val="222222"/>
          <w:shd w:val="clear" w:color="auto" w:fill="FFFFFF"/>
          <w:lang w:eastAsia="en-US"/>
        </w:rPr>
        <w:t>reflection</w:t>
      </w:r>
      <w:r w:rsidR="004C004F">
        <w:rPr>
          <w:rFonts w:asciiTheme="minorHAnsi" w:eastAsiaTheme="minorEastAsia" w:hAnsiTheme="minorHAnsi" w:cstheme="minorHAnsi"/>
          <w:color w:val="222222"/>
          <w:shd w:val="clear" w:color="auto" w:fill="FFFFFF"/>
          <w:lang w:eastAsia="en-US"/>
        </w:rPr>
        <w:t xml:space="preserve"> </w:t>
      </w:r>
    </w:p>
    <w:p w14:paraId="791E47D7" w14:textId="77777777" w:rsidR="000B6FA9" w:rsidRDefault="000B6FA9" w:rsidP="00850B2A">
      <w:pPr>
        <w:pStyle w:val="CPRE-BodyCopyStyle"/>
        <w:ind w:left="0"/>
        <w:jc w:val="both"/>
        <w:rPr>
          <w:rFonts w:cstheme="minorHAnsi"/>
          <w:color w:val="222222"/>
          <w:shd w:val="clear" w:color="auto" w:fill="FFFFFF"/>
        </w:rPr>
      </w:pPr>
    </w:p>
    <w:p w14:paraId="2B8DF82B" w14:textId="77777777" w:rsidR="00DE5CAB" w:rsidRDefault="00DE5CAB" w:rsidP="00E05D90">
      <w:pPr>
        <w:pStyle w:val="CPRE-BodyCopyStyle"/>
        <w:ind w:left="0"/>
        <w:jc w:val="both"/>
        <w:rPr>
          <w:rFonts w:cstheme="minorHAnsi"/>
          <w:color w:val="222222"/>
          <w:shd w:val="clear" w:color="auto" w:fill="FFFFFF"/>
        </w:rPr>
      </w:pPr>
    </w:p>
    <w:p w14:paraId="57262ACF" w14:textId="3DD6F434" w:rsidR="00DE5CAB" w:rsidRDefault="00DE5CAB" w:rsidP="00DE5CAB">
      <w:pPr>
        <w:pStyle w:val="CPRE-BodyCopyStyle"/>
        <w:ind w:left="720"/>
        <w:rPr>
          <w:rFonts w:cstheme="minorHAnsi"/>
          <w:color w:val="222222"/>
          <w:shd w:val="clear" w:color="auto" w:fill="FFFFFF"/>
        </w:rPr>
      </w:pPr>
      <w:r>
        <w:rPr>
          <w:rFonts w:cstheme="minorHAnsi"/>
          <w:color w:val="222222"/>
          <w:shd w:val="clear" w:color="auto" w:fill="FFFFFF"/>
        </w:rPr>
        <w:t>Best wishes</w:t>
      </w:r>
      <w:r w:rsidR="00DD1167">
        <w:rPr>
          <w:rFonts w:cstheme="minorHAnsi"/>
          <w:color w:val="222222"/>
          <w:shd w:val="clear" w:color="auto" w:fill="FFFFFF"/>
        </w:rPr>
        <w:t>,</w:t>
      </w:r>
    </w:p>
    <w:p w14:paraId="0AAF58FE" w14:textId="68CB57A6" w:rsidR="00DE5CAB" w:rsidRPr="00A153B2" w:rsidRDefault="001B32BA" w:rsidP="00DE5CAB">
      <w:pPr>
        <w:pStyle w:val="CPRE-BodyCopyStyle"/>
        <w:ind w:left="720"/>
        <w:rPr>
          <w:rFonts w:ascii="Lucida Handwriting" w:hAnsi="Lucida Handwriting" w:cs="Apple Chancery"/>
          <w:i/>
          <w:iCs/>
          <w:color w:val="222222"/>
          <w:shd w:val="clear" w:color="auto" w:fill="FFFFFF"/>
        </w:rPr>
      </w:pPr>
      <w:r w:rsidRPr="00A153B2">
        <w:rPr>
          <w:rFonts w:ascii="Lucida Handwriting" w:hAnsi="Lucida Handwriting" w:cs="Apple Chancery"/>
          <w:i/>
          <w:iCs/>
          <w:color w:val="222222"/>
          <w:shd w:val="clear" w:color="auto" w:fill="FFFFFF"/>
        </w:rPr>
        <w:t>John Ydlibi</w:t>
      </w:r>
    </w:p>
    <w:p w14:paraId="060DDC78" w14:textId="77777777" w:rsidR="00DE5CAB" w:rsidRDefault="00DE5CAB" w:rsidP="00DE5CAB">
      <w:pPr>
        <w:pStyle w:val="CPRE-BodyCopyStyle"/>
        <w:ind w:left="720"/>
        <w:rPr>
          <w:rFonts w:cstheme="minorHAnsi"/>
          <w:color w:val="222222"/>
          <w:shd w:val="clear" w:color="auto" w:fill="FFFFFF"/>
        </w:rPr>
      </w:pPr>
    </w:p>
    <w:p w14:paraId="21DC05F7" w14:textId="19D85280" w:rsidR="00DE5CAB" w:rsidRDefault="00DE5CAB" w:rsidP="00DE5CAB">
      <w:pPr>
        <w:pStyle w:val="CPRE-BodyCopyStyle"/>
        <w:ind w:left="720"/>
        <w:rPr>
          <w:rFonts w:cstheme="minorHAnsi"/>
          <w:color w:val="222222"/>
          <w:shd w:val="clear" w:color="auto" w:fill="FFFFFF"/>
        </w:rPr>
      </w:pPr>
      <w:r>
        <w:rPr>
          <w:rFonts w:cstheme="minorHAnsi"/>
          <w:color w:val="222222"/>
          <w:shd w:val="clear" w:color="auto" w:fill="FFFFFF"/>
        </w:rPr>
        <w:t>John Ydlibi</w:t>
      </w:r>
    </w:p>
    <w:p w14:paraId="5F589E70" w14:textId="579D4BC6" w:rsidR="00DE5CAB" w:rsidRDefault="00DE5CAB" w:rsidP="00DE5CAB">
      <w:pPr>
        <w:pStyle w:val="CPRE-BodyCopyStyle"/>
        <w:ind w:left="720"/>
        <w:rPr>
          <w:rFonts w:cstheme="minorHAnsi"/>
          <w:color w:val="222222"/>
          <w:shd w:val="clear" w:color="auto" w:fill="FFFFFF"/>
        </w:rPr>
      </w:pPr>
      <w:r>
        <w:rPr>
          <w:rFonts w:cstheme="minorHAnsi"/>
          <w:color w:val="222222"/>
          <w:shd w:val="clear" w:color="auto" w:fill="FFFFFF"/>
        </w:rPr>
        <w:t>Chair- CPRE Derbyshire, the Countryside charity</w:t>
      </w:r>
    </w:p>
    <w:p w14:paraId="29114D0D" w14:textId="00B853FB" w:rsidR="00DE5CAB" w:rsidRDefault="00DE5CAB" w:rsidP="00DE5CAB">
      <w:pPr>
        <w:pStyle w:val="CPRE-BodyCopyStyle"/>
        <w:ind w:left="720"/>
        <w:rPr>
          <w:rFonts w:cstheme="minorHAnsi"/>
          <w:color w:val="222222"/>
          <w:shd w:val="clear" w:color="auto" w:fill="FFFFFF"/>
        </w:rPr>
      </w:pPr>
      <w:r>
        <w:rPr>
          <w:rFonts w:cstheme="minorHAnsi"/>
          <w:color w:val="222222"/>
          <w:shd w:val="clear" w:color="auto" w:fill="FFFFFF"/>
        </w:rPr>
        <w:t>Tel 07925839664</w:t>
      </w:r>
    </w:p>
    <w:p w14:paraId="30E938B3" w14:textId="77777777" w:rsidR="00B15FE8" w:rsidRDefault="00B15FE8" w:rsidP="00B15FE8">
      <w:pPr>
        <w:pStyle w:val="CPRE-BodyCopyStyle"/>
        <w:ind w:left="0"/>
        <w:rPr>
          <w:rFonts w:cstheme="minorHAnsi"/>
          <w:color w:val="222222"/>
          <w:shd w:val="clear" w:color="auto" w:fill="FFFFFF"/>
        </w:rPr>
      </w:pPr>
    </w:p>
    <w:p w14:paraId="49332152" w14:textId="77777777" w:rsidR="00DA6252" w:rsidRPr="00EA5EA1" w:rsidRDefault="00DA6252" w:rsidP="009A4496">
      <w:pPr>
        <w:pStyle w:val="CPRE-BodyCopyStyle"/>
        <w:ind w:left="0"/>
      </w:pPr>
    </w:p>
    <w:sectPr w:rsidR="00DA6252" w:rsidRPr="00EA5EA1" w:rsidSect="00D07D13">
      <w:headerReference w:type="default" r:id="rId14"/>
      <w:pgSz w:w="11900" w:h="16840"/>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6534C" w14:textId="77777777" w:rsidR="000F54BB" w:rsidRDefault="000F54BB" w:rsidP="004A0D31">
      <w:r>
        <w:separator/>
      </w:r>
    </w:p>
  </w:endnote>
  <w:endnote w:type="continuationSeparator" w:id="0">
    <w:p w14:paraId="2D09A6D3" w14:textId="77777777" w:rsidR="000F54BB" w:rsidRDefault="000F54BB" w:rsidP="004A0D31">
      <w:r>
        <w:continuationSeparator/>
      </w:r>
    </w:p>
  </w:endnote>
  <w:endnote w:type="continuationNotice" w:id="1">
    <w:p w14:paraId="6A697F3F" w14:textId="77777777" w:rsidR="000F54BB" w:rsidRDefault="000F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body">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Apple Chancery">
    <w:altName w:val="Arial"/>
    <w:charset w:val="B1"/>
    <w:family w:val="script"/>
    <w:pitch w:val="variable"/>
    <w:sig w:usb0="80000867" w:usb1="00000003" w:usb2="00000000" w:usb3="00000000" w:csb0="000001F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3085" w14:textId="77777777" w:rsidR="000F54BB" w:rsidRDefault="000F54BB" w:rsidP="004A0D31">
      <w:r>
        <w:separator/>
      </w:r>
    </w:p>
  </w:footnote>
  <w:footnote w:type="continuationSeparator" w:id="0">
    <w:p w14:paraId="7583ACDB" w14:textId="77777777" w:rsidR="000F54BB" w:rsidRDefault="000F54BB" w:rsidP="004A0D31">
      <w:r>
        <w:continuationSeparator/>
      </w:r>
    </w:p>
  </w:footnote>
  <w:footnote w:type="continuationNotice" w:id="1">
    <w:p w14:paraId="155E4D29" w14:textId="77777777" w:rsidR="000F54BB" w:rsidRDefault="000F5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A806" w14:textId="6B4B4F39" w:rsidR="002558AB" w:rsidRDefault="003C541F" w:rsidP="009A4496">
    <w:pPr>
      <w:pStyle w:val="Header"/>
    </w:pPr>
    <w:r>
      <w:rPr>
        <w:noProof/>
        <w:color w:val="3B833A"/>
        <w:sz w:val="44"/>
        <w:szCs w:val="44"/>
        <w:lang w:eastAsia="en-GB"/>
      </w:rPr>
      <w:drawing>
        <wp:inline distT="0" distB="0" distL="0" distR="0" wp14:anchorId="28F5E4BB" wp14:editId="2760F300">
          <wp:extent cx="3292206" cy="86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840" t="14941" b="3742"/>
                  <a:stretch/>
                </pic:blipFill>
                <pic:spPr bwMode="auto">
                  <a:xfrm>
                    <a:off x="0" y="0"/>
                    <a:ext cx="3333943" cy="874548"/>
                  </a:xfrm>
                  <a:prstGeom prst="rect">
                    <a:avLst/>
                  </a:prstGeom>
                  <a:noFill/>
                  <a:ln>
                    <a:noFill/>
                  </a:ln>
                  <a:extLst>
                    <a:ext uri="{53640926-AAD7-44D8-BBD7-CCE9431645EC}">
                      <a14:shadowObscured xmlns:a14="http://schemas.microsoft.com/office/drawing/2010/main"/>
                    </a:ext>
                  </a:extLst>
                </pic:spPr>
              </pic:pic>
            </a:graphicData>
          </a:graphic>
        </wp:inline>
      </w:drawing>
    </w:r>
  </w:p>
  <w:p w14:paraId="17031B52" w14:textId="77777777" w:rsidR="002558AB" w:rsidRDefault="002558AB" w:rsidP="009A4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7D6"/>
    <w:multiLevelType w:val="hybridMultilevel"/>
    <w:tmpl w:val="3F981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F3638A"/>
    <w:multiLevelType w:val="hybridMultilevel"/>
    <w:tmpl w:val="CFE298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C49F9"/>
    <w:multiLevelType w:val="hybridMultilevel"/>
    <w:tmpl w:val="798C5C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512FB"/>
    <w:multiLevelType w:val="hybridMultilevel"/>
    <w:tmpl w:val="9F10DABC"/>
    <w:lvl w:ilvl="0" w:tplc="D216219C">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110A9"/>
    <w:multiLevelType w:val="hybridMultilevel"/>
    <w:tmpl w:val="169A59B8"/>
    <w:lvl w:ilvl="0" w:tplc="4FACFF94">
      <w:start w:val="1"/>
      <w:numFmt w:val="decimal"/>
      <w:lvlText w:val="%1"/>
      <w:lvlJc w:val="left"/>
      <w:pPr>
        <w:ind w:left="1440" w:hanging="360"/>
      </w:pPr>
      <w:rPr>
        <w:rFonts w:eastAsiaTheme="minorEastAsia" w:hint="default"/>
        <w:b w:val="0"/>
        <w:bCs w:val="0"/>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05717D"/>
    <w:multiLevelType w:val="hybridMultilevel"/>
    <w:tmpl w:val="3B7419AA"/>
    <w:lvl w:ilvl="0" w:tplc="90FA6556">
      <w:start w:val="1"/>
      <w:numFmt w:val="decimal"/>
      <w:lvlText w:val="%1"/>
      <w:lvlJc w:val="left"/>
      <w:pPr>
        <w:ind w:left="1440" w:hanging="360"/>
      </w:pPr>
      <w:rPr>
        <w:rFonts w:eastAsiaTheme="minorEastAsia" w:hint="default"/>
        <w:color w:val="000000" w:themeColor="tex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0F66EBD"/>
    <w:multiLevelType w:val="hybridMultilevel"/>
    <w:tmpl w:val="221AAA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74D16"/>
    <w:multiLevelType w:val="hybridMultilevel"/>
    <w:tmpl w:val="B338DF6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D04C5"/>
    <w:multiLevelType w:val="hybridMultilevel"/>
    <w:tmpl w:val="44B42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4228F"/>
    <w:multiLevelType w:val="hybridMultilevel"/>
    <w:tmpl w:val="6AF6F45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F5F1322"/>
    <w:multiLevelType w:val="hybridMultilevel"/>
    <w:tmpl w:val="5986D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956AF"/>
    <w:multiLevelType w:val="hybridMultilevel"/>
    <w:tmpl w:val="F7A89F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02423"/>
    <w:multiLevelType w:val="hybridMultilevel"/>
    <w:tmpl w:val="BB50638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06879769">
    <w:abstractNumId w:val="7"/>
  </w:num>
  <w:num w:numId="2" w16cid:durableId="1158694484">
    <w:abstractNumId w:val="2"/>
  </w:num>
  <w:num w:numId="3" w16cid:durableId="243686796">
    <w:abstractNumId w:val="0"/>
  </w:num>
  <w:num w:numId="4" w16cid:durableId="456609832">
    <w:abstractNumId w:val="11"/>
  </w:num>
  <w:num w:numId="5" w16cid:durableId="1088423553">
    <w:abstractNumId w:val="6"/>
  </w:num>
  <w:num w:numId="6" w16cid:durableId="1675104486">
    <w:abstractNumId w:val="12"/>
  </w:num>
  <w:num w:numId="7" w16cid:durableId="742679427">
    <w:abstractNumId w:val="9"/>
  </w:num>
  <w:num w:numId="8" w16cid:durableId="701370285">
    <w:abstractNumId w:val="1"/>
  </w:num>
  <w:num w:numId="9" w16cid:durableId="401024384">
    <w:abstractNumId w:val="8"/>
  </w:num>
  <w:num w:numId="10" w16cid:durableId="1962371400">
    <w:abstractNumId w:val="10"/>
  </w:num>
  <w:num w:numId="11" w16cid:durableId="1353917507">
    <w:abstractNumId w:val="3"/>
  </w:num>
  <w:num w:numId="12" w16cid:durableId="10256050">
    <w:abstractNumId w:val="4"/>
  </w:num>
  <w:num w:numId="13" w16cid:durableId="312367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31"/>
    <w:rsid w:val="00001239"/>
    <w:rsid w:val="0000388E"/>
    <w:rsid w:val="00004241"/>
    <w:rsid w:val="00015224"/>
    <w:rsid w:val="00016B7F"/>
    <w:rsid w:val="00022FF5"/>
    <w:rsid w:val="00027602"/>
    <w:rsid w:val="000335A8"/>
    <w:rsid w:val="00037F25"/>
    <w:rsid w:val="000518B3"/>
    <w:rsid w:val="0005399C"/>
    <w:rsid w:val="000608B9"/>
    <w:rsid w:val="00063709"/>
    <w:rsid w:val="00063A79"/>
    <w:rsid w:val="00063DB1"/>
    <w:rsid w:val="00063DC0"/>
    <w:rsid w:val="000B316D"/>
    <w:rsid w:val="000B3449"/>
    <w:rsid w:val="000B6FA9"/>
    <w:rsid w:val="000C5149"/>
    <w:rsid w:val="000D325D"/>
    <w:rsid w:val="000E4489"/>
    <w:rsid w:val="000E479F"/>
    <w:rsid w:val="000E7804"/>
    <w:rsid w:val="000F1295"/>
    <w:rsid w:val="000F54BB"/>
    <w:rsid w:val="00103A84"/>
    <w:rsid w:val="00105DF4"/>
    <w:rsid w:val="001064DB"/>
    <w:rsid w:val="00131F1E"/>
    <w:rsid w:val="00133004"/>
    <w:rsid w:val="00140196"/>
    <w:rsid w:val="00141509"/>
    <w:rsid w:val="00152F9B"/>
    <w:rsid w:val="001608CC"/>
    <w:rsid w:val="00160E29"/>
    <w:rsid w:val="0016208B"/>
    <w:rsid w:val="00162D83"/>
    <w:rsid w:val="0017291E"/>
    <w:rsid w:val="001754E2"/>
    <w:rsid w:val="0017710A"/>
    <w:rsid w:val="00195962"/>
    <w:rsid w:val="001973BD"/>
    <w:rsid w:val="00197A5C"/>
    <w:rsid w:val="001A3D43"/>
    <w:rsid w:val="001A411C"/>
    <w:rsid w:val="001A43FE"/>
    <w:rsid w:val="001A6415"/>
    <w:rsid w:val="001B32BA"/>
    <w:rsid w:val="001B77A6"/>
    <w:rsid w:val="001D772F"/>
    <w:rsid w:val="001E7C11"/>
    <w:rsid w:val="001F29DB"/>
    <w:rsid w:val="001F4283"/>
    <w:rsid w:val="00204EB9"/>
    <w:rsid w:val="00207897"/>
    <w:rsid w:val="00211670"/>
    <w:rsid w:val="00215EE1"/>
    <w:rsid w:val="002225CE"/>
    <w:rsid w:val="00225B0C"/>
    <w:rsid w:val="00253823"/>
    <w:rsid w:val="002558AB"/>
    <w:rsid w:val="00263EEE"/>
    <w:rsid w:val="00271AC3"/>
    <w:rsid w:val="00271DCC"/>
    <w:rsid w:val="002753F2"/>
    <w:rsid w:val="002863E7"/>
    <w:rsid w:val="00286817"/>
    <w:rsid w:val="00291BB6"/>
    <w:rsid w:val="00293148"/>
    <w:rsid w:val="002A6DF2"/>
    <w:rsid w:val="002A7BA0"/>
    <w:rsid w:val="002B6E86"/>
    <w:rsid w:val="002C7765"/>
    <w:rsid w:val="002D0F25"/>
    <w:rsid w:val="002D528D"/>
    <w:rsid w:val="002D6D18"/>
    <w:rsid w:val="002E2682"/>
    <w:rsid w:val="00302CC1"/>
    <w:rsid w:val="00311436"/>
    <w:rsid w:val="00316FAD"/>
    <w:rsid w:val="003224D8"/>
    <w:rsid w:val="00322946"/>
    <w:rsid w:val="003255DA"/>
    <w:rsid w:val="003266E6"/>
    <w:rsid w:val="00335009"/>
    <w:rsid w:val="00342510"/>
    <w:rsid w:val="00345207"/>
    <w:rsid w:val="00351FD0"/>
    <w:rsid w:val="00357160"/>
    <w:rsid w:val="003728FC"/>
    <w:rsid w:val="00384ED7"/>
    <w:rsid w:val="0038791B"/>
    <w:rsid w:val="00392417"/>
    <w:rsid w:val="0039643E"/>
    <w:rsid w:val="003A6E38"/>
    <w:rsid w:val="003C0F17"/>
    <w:rsid w:val="003C541F"/>
    <w:rsid w:val="003D470E"/>
    <w:rsid w:val="003D676D"/>
    <w:rsid w:val="003E02BB"/>
    <w:rsid w:val="003E27EC"/>
    <w:rsid w:val="003F4F80"/>
    <w:rsid w:val="004014B9"/>
    <w:rsid w:val="004068D0"/>
    <w:rsid w:val="00420C10"/>
    <w:rsid w:val="00427F28"/>
    <w:rsid w:val="0043396A"/>
    <w:rsid w:val="00441764"/>
    <w:rsid w:val="00441C3A"/>
    <w:rsid w:val="0046342E"/>
    <w:rsid w:val="004674F9"/>
    <w:rsid w:val="00471D0A"/>
    <w:rsid w:val="00480F91"/>
    <w:rsid w:val="00497E3C"/>
    <w:rsid w:val="004A0D31"/>
    <w:rsid w:val="004A48FC"/>
    <w:rsid w:val="004C004F"/>
    <w:rsid w:val="004C3743"/>
    <w:rsid w:val="004C5294"/>
    <w:rsid w:val="004C6C61"/>
    <w:rsid w:val="004C70F7"/>
    <w:rsid w:val="004C7114"/>
    <w:rsid w:val="004C755E"/>
    <w:rsid w:val="004D0854"/>
    <w:rsid w:val="004D749F"/>
    <w:rsid w:val="004E40BA"/>
    <w:rsid w:val="00500731"/>
    <w:rsid w:val="00507099"/>
    <w:rsid w:val="00507507"/>
    <w:rsid w:val="00516444"/>
    <w:rsid w:val="005212E9"/>
    <w:rsid w:val="0052576E"/>
    <w:rsid w:val="00533507"/>
    <w:rsid w:val="0056477D"/>
    <w:rsid w:val="005679B7"/>
    <w:rsid w:val="00582DAB"/>
    <w:rsid w:val="00583617"/>
    <w:rsid w:val="0059025E"/>
    <w:rsid w:val="00591024"/>
    <w:rsid w:val="00592DEB"/>
    <w:rsid w:val="00597C87"/>
    <w:rsid w:val="005A4226"/>
    <w:rsid w:val="005C2A0D"/>
    <w:rsid w:val="005C5C5C"/>
    <w:rsid w:val="005D1E64"/>
    <w:rsid w:val="005E6E73"/>
    <w:rsid w:val="005F7434"/>
    <w:rsid w:val="006001B1"/>
    <w:rsid w:val="00602975"/>
    <w:rsid w:val="00604156"/>
    <w:rsid w:val="00610FEE"/>
    <w:rsid w:val="00612A7D"/>
    <w:rsid w:val="00617D8A"/>
    <w:rsid w:val="00620C49"/>
    <w:rsid w:val="006228A6"/>
    <w:rsid w:val="006276DF"/>
    <w:rsid w:val="006310D6"/>
    <w:rsid w:val="006341E4"/>
    <w:rsid w:val="00644FEC"/>
    <w:rsid w:val="0065207A"/>
    <w:rsid w:val="00662A68"/>
    <w:rsid w:val="00671B10"/>
    <w:rsid w:val="0069034C"/>
    <w:rsid w:val="00693581"/>
    <w:rsid w:val="00694A86"/>
    <w:rsid w:val="006B77E0"/>
    <w:rsid w:val="006D0144"/>
    <w:rsid w:val="006D28A4"/>
    <w:rsid w:val="006D4DD9"/>
    <w:rsid w:val="006E0736"/>
    <w:rsid w:val="00701A19"/>
    <w:rsid w:val="00706239"/>
    <w:rsid w:val="007062A5"/>
    <w:rsid w:val="00726595"/>
    <w:rsid w:val="00743338"/>
    <w:rsid w:val="00743437"/>
    <w:rsid w:val="0074798F"/>
    <w:rsid w:val="00754E22"/>
    <w:rsid w:val="007648A6"/>
    <w:rsid w:val="00764C14"/>
    <w:rsid w:val="00783507"/>
    <w:rsid w:val="007841DA"/>
    <w:rsid w:val="00796513"/>
    <w:rsid w:val="007A1E31"/>
    <w:rsid w:val="007B4BF7"/>
    <w:rsid w:val="007B5A75"/>
    <w:rsid w:val="007B63AE"/>
    <w:rsid w:val="007C1E28"/>
    <w:rsid w:val="007C456D"/>
    <w:rsid w:val="007C60D9"/>
    <w:rsid w:val="007C75D6"/>
    <w:rsid w:val="007D2979"/>
    <w:rsid w:val="00804488"/>
    <w:rsid w:val="0080590D"/>
    <w:rsid w:val="008146B8"/>
    <w:rsid w:val="00825E77"/>
    <w:rsid w:val="00826D1D"/>
    <w:rsid w:val="0084180F"/>
    <w:rsid w:val="0084530D"/>
    <w:rsid w:val="0084731C"/>
    <w:rsid w:val="00850B2A"/>
    <w:rsid w:val="0085192B"/>
    <w:rsid w:val="008524D8"/>
    <w:rsid w:val="008556E6"/>
    <w:rsid w:val="00857F4F"/>
    <w:rsid w:val="00865A1D"/>
    <w:rsid w:val="00874FBE"/>
    <w:rsid w:val="00882B0C"/>
    <w:rsid w:val="00883CF4"/>
    <w:rsid w:val="0089077C"/>
    <w:rsid w:val="00894B57"/>
    <w:rsid w:val="00895FB9"/>
    <w:rsid w:val="008A0F0B"/>
    <w:rsid w:val="008A6202"/>
    <w:rsid w:val="008D590B"/>
    <w:rsid w:val="008D599A"/>
    <w:rsid w:val="008E08BD"/>
    <w:rsid w:val="008E3973"/>
    <w:rsid w:val="008E5D09"/>
    <w:rsid w:val="008F3639"/>
    <w:rsid w:val="009013DF"/>
    <w:rsid w:val="0092237A"/>
    <w:rsid w:val="009240FB"/>
    <w:rsid w:val="00932DFE"/>
    <w:rsid w:val="00933710"/>
    <w:rsid w:val="0095535B"/>
    <w:rsid w:val="00957B1C"/>
    <w:rsid w:val="0096793A"/>
    <w:rsid w:val="00985BA5"/>
    <w:rsid w:val="00990C98"/>
    <w:rsid w:val="00993741"/>
    <w:rsid w:val="009A314B"/>
    <w:rsid w:val="009A4496"/>
    <w:rsid w:val="009C4FC9"/>
    <w:rsid w:val="009C7293"/>
    <w:rsid w:val="009D0DAC"/>
    <w:rsid w:val="009D6B5F"/>
    <w:rsid w:val="009F384D"/>
    <w:rsid w:val="009F48A1"/>
    <w:rsid w:val="00A060CB"/>
    <w:rsid w:val="00A123F9"/>
    <w:rsid w:val="00A153B2"/>
    <w:rsid w:val="00A22DD8"/>
    <w:rsid w:val="00A230C8"/>
    <w:rsid w:val="00A339FA"/>
    <w:rsid w:val="00A53F15"/>
    <w:rsid w:val="00A609C5"/>
    <w:rsid w:val="00A67801"/>
    <w:rsid w:val="00A72EE6"/>
    <w:rsid w:val="00A754E0"/>
    <w:rsid w:val="00A817F6"/>
    <w:rsid w:val="00A84591"/>
    <w:rsid w:val="00A85D78"/>
    <w:rsid w:val="00A94AE1"/>
    <w:rsid w:val="00AA1E46"/>
    <w:rsid w:val="00AB350B"/>
    <w:rsid w:val="00AC2995"/>
    <w:rsid w:val="00AC44C4"/>
    <w:rsid w:val="00AC6D28"/>
    <w:rsid w:val="00AD3B05"/>
    <w:rsid w:val="00AE39C2"/>
    <w:rsid w:val="00AF131C"/>
    <w:rsid w:val="00B00757"/>
    <w:rsid w:val="00B02D01"/>
    <w:rsid w:val="00B031CE"/>
    <w:rsid w:val="00B15FE8"/>
    <w:rsid w:val="00B17542"/>
    <w:rsid w:val="00B20648"/>
    <w:rsid w:val="00B337CF"/>
    <w:rsid w:val="00B3528E"/>
    <w:rsid w:val="00B6628D"/>
    <w:rsid w:val="00B73B77"/>
    <w:rsid w:val="00B751FD"/>
    <w:rsid w:val="00B80227"/>
    <w:rsid w:val="00B85F76"/>
    <w:rsid w:val="00B9501A"/>
    <w:rsid w:val="00B965FF"/>
    <w:rsid w:val="00BA518A"/>
    <w:rsid w:val="00BB1913"/>
    <w:rsid w:val="00BC2B7A"/>
    <w:rsid w:val="00BC53DD"/>
    <w:rsid w:val="00BD68A9"/>
    <w:rsid w:val="00BE07F0"/>
    <w:rsid w:val="00BE39FC"/>
    <w:rsid w:val="00BF0B68"/>
    <w:rsid w:val="00BF5401"/>
    <w:rsid w:val="00BF6D27"/>
    <w:rsid w:val="00BF77F3"/>
    <w:rsid w:val="00C00730"/>
    <w:rsid w:val="00C0270B"/>
    <w:rsid w:val="00C1504C"/>
    <w:rsid w:val="00C27E7E"/>
    <w:rsid w:val="00C3260D"/>
    <w:rsid w:val="00C807B1"/>
    <w:rsid w:val="00C80E90"/>
    <w:rsid w:val="00CA744B"/>
    <w:rsid w:val="00CB1BD0"/>
    <w:rsid w:val="00CD3143"/>
    <w:rsid w:val="00CE0851"/>
    <w:rsid w:val="00CE0A83"/>
    <w:rsid w:val="00CE5068"/>
    <w:rsid w:val="00CF57A6"/>
    <w:rsid w:val="00CF6A21"/>
    <w:rsid w:val="00D07D13"/>
    <w:rsid w:val="00D232F2"/>
    <w:rsid w:val="00D32AD5"/>
    <w:rsid w:val="00D3661B"/>
    <w:rsid w:val="00D36F6B"/>
    <w:rsid w:val="00D37B1F"/>
    <w:rsid w:val="00D4047C"/>
    <w:rsid w:val="00D40D6E"/>
    <w:rsid w:val="00D43F2F"/>
    <w:rsid w:val="00D52EBB"/>
    <w:rsid w:val="00D70CB5"/>
    <w:rsid w:val="00D70E9F"/>
    <w:rsid w:val="00D731F5"/>
    <w:rsid w:val="00D85468"/>
    <w:rsid w:val="00D9744D"/>
    <w:rsid w:val="00DA10E2"/>
    <w:rsid w:val="00DA6252"/>
    <w:rsid w:val="00DB3708"/>
    <w:rsid w:val="00DB379D"/>
    <w:rsid w:val="00DC266A"/>
    <w:rsid w:val="00DC7690"/>
    <w:rsid w:val="00DD088A"/>
    <w:rsid w:val="00DD1167"/>
    <w:rsid w:val="00DE5CAB"/>
    <w:rsid w:val="00DF6509"/>
    <w:rsid w:val="00DF7EEE"/>
    <w:rsid w:val="00E05D90"/>
    <w:rsid w:val="00E15E7E"/>
    <w:rsid w:val="00E261DD"/>
    <w:rsid w:val="00E31004"/>
    <w:rsid w:val="00E3648F"/>
    <w:rsid w:val="00E40566"/>
    <w:rsid w:val="00E41F46"/>
    <w:rsid w:val="00E46D8C"/>
    <w:rsid w:val="00E5681B"/>
    <w:rsid w:val="00E66136"/>
    <w:rsid w:val="00E958A0"/>
    <w:rsid w:val="00EA5D51"/>
    <w:rsid w:val="00EA5EA1"/>
    <w:rsid w:val="00EB16B7"/>
    <w:rsid w:val="00EB1806"/>
    <w:rsid w:val="00EB358D"/>
    <w:rsid w:val="00EB717D"/>
    <w:rsid w:val="00EC1963"/>
    <w:rsid w:val="00ED0600"/>
    <w:rsid w:val="00ED5322"/>
    <w:rsid w:val="00EE4920"/>
    <w:rsid w:val="00F0599A"/>
    <w:rsid w:val="00F33E6B"/>
    <w:rsid w:val="00F344BF"/>
    <w:rsid w:val="00F4011C"/>
    <w:rsid w:val="00F42CC4"/>
    <w:rsid w:val="00F434B4"/>
    <w:rsid w:val="00F61791"/>
    <w:rsid w:val="00F77196"/>
    <w:rsid w:val="00F8362E"/>
    <w:rsid w:val="00F83B13"/>
    <w:rsid w:val="00F94948"/>
    <w:rsid w:val="00FA2907"/>
    <w:rsid w:val="00FB58F3"/>
    <w:rsid w:val="00FC0374"/>
    <w:rsid w:val="00FC7263"/>
    <w:rsid w:val="00FD3334"/>
    <w:rsid w:val="00FF3E96"/>
    <w:rsid w:val="0A43BC6C"/>
    <w:rsid w:val="790C8A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FC13"/>
  <w15:chartTrackingRefBased/>
  <w15:docId w15:val="{FE38A63F-CA8F-4015-9CB2-61D6BDF6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4E2"/>
    <w:rPr>
      <w:rFonts w:eastAsiaTheme="minorEastAsia"/>
    </w:rPr>
  </w:style>
  <w:style w:type="paragraph" w:styleId="Heading2">
    <w:name w:val="heading 2"/>
    <w:basedOn w:val="Normal"/>
    <w:next w:val="Normal"/>
    <w:link w:val="Heading2Char"/>
    <w:uiPriority w:val="9"/>
    <w:unhideWhenUsed/>
    <w:qFormat/>
    <w:rsid w:val="00BF54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D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0D31"/>
    <w:rPr>
      <w:rFonts w:ascii="Times New Roman" w:hAnsi="Times New Roman" w:cs="Times New Roman"/>
      <w:sz w:val="18"/>
      <w:szCs w:val="18"/>
    </w:rPr>
  </w:style>
  <w:style w:type="paragraph" w:styleId="Header">
    <w:name w:val="header"/>
    <w:basedOn w:val="Normal"/>
    <w:link w:val="HeaderChar"/>
    <w:uiPriority w:val="99"/>
    <w:unhideWhenUsed/>
    <w:rsid w:val="004A0D3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A0D31"/>
  </w:style>
  <w:style w:type="paragraph" w:styleId="Footer">
    <w:name w:val="footer"/>
    <w:basedOn w:val="Normal"/>
    <w:link w:val="FooterChar"/>
    <w:uiPriority w:val="99"/>
    <w:unhideWhenUsed/>
    <w:rsid w:val="004A0D31"/>
    <w:pPr>
      <w:tabs>
        <w:tab w:val="center" w:pos="4680"/>
        <w:tab w:val="right" w:pos="9360"/>
      </w:tabs>
    </w:pPr>
  </w:style>
  <w:style w:type="character" w:customStyle="1" w:styleId="FooterChar">
    <w:name w:val="Footer Char"/>
    <w:basedOn w:val="DefaultParagraphFont"/>
    <w:link w:val="Footer"/>
    <w:uiPriority w:val="99"/>
    <w:rsid w:val="004A0D31"/>
  </w:style>
  <w:style w:type="table" w:styleId="TableGrid">
    <w:name w:val="Table Grid"/>
    <w:basedOn w:val="TableNormal"/>
    <w:uiPriority w:val="39"/>
    <w:rsid w:val="00AA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5401"/>
    <w:rPr>
      <w:rFonts w:asciiTheme="majorHAnsi" w:eastAsiaTheme="majorEastAsia" w:hAnsiTheme="majorHAnsi" w:cstheme="majorBidi"/>
      <w:color w:val="2F5496" w:themeColor="accent1" w:themeShade="BF"/>
      <w:sz w:val="26"/>
      <w:szCs w:val="26"/>
    </w:rPr>
  </w:style>
  <w:style w:type="paragraph" w:customStyle="1" w:styleId="CPRE-TitleCopyStyle">
    <w:name w:val="CPRE - Title Copy Style"/>
    <w:basedOn w:val="Normal"/>
    <w:qFormat/>
    <w:rsid w:val="00EA5EA1"/>
    <w:pPr>
      <w:ind w:left="-851"/>
    </w:pPr>
    <w:rPr>
      <w:color w:val="4AA147"/>
      <w:sz w:val="56"/>
      <w:szCs w:val="56"/>
    </w:rPr>
  </w:style>
  <w:style w:type="paragraph" w:customStyle="1" w:styleId="CPRE-SubtitleCopyStyle">
    <w:name w:val="CPRE - Subtitle Copy Style"/>
    <w:basedOn w:val="Normal"/>
    <w:qFormat/>
    <w:rsid w:val="00EA5EA1"/>
    <w:pPr>
      <w:ind w:left="-851"/>
    </w:pPr>
    <w:rPr>
      <w:color w:val="264334"/>
      <w:sz w:val="40"/>
      <w:szCs w:val="40"/>
    </w:rPr>
  </w:style>
  <w:style w:type="paragraph" w:customStyle="1" w:styleId="CPRE-BodyCopyStyle">
    <w:name w:val="CPRE - Body Copy Style"/>
    <w:basedOn w:val="Normal"/>
    <w:qFormat/>
    <w:rsid w:val="00EA5EA1"/>
    <w:pPr>
      <w:ind w:left="-851"/>
    </w:pPr>
    <w:rPr>
      <w:color w:val="264334"/>
    </w:rPr>
  </w:style>
  <w:style w:type="paragraph" w:styleId="ListParagraph">
    <w:name w:val="List Paragraph"/>
    <w:basedOn w:val="Normal"/>
    <w:uiPriority w:val="34"/>
    <w:qFormat/>
    <w:rsid w:val="00A817F6"/>
    <w:pPr>
      <w:ind w:left="720"/>
      <w:contextualSpacing/>
    </w:pPr>
  </w:style>
  <w:style w:type="character" w:styleId="Hyperlink">
    <w:name w:val="Hyperlink"/>
    <w:basedOn w:val="DefaultParagraphFont"/>
    <w:uiPriority w:val="99"/>
    <w:unhideWhenUsed/>
    <w:rsid w:val="00140196"/>
    <w:rPr>
      <w:color w:val="0563C1" w:themeColor="hyperlink"/>
      <w:u w:val="single"/>
    </w:rPr>
  </w:style>
  <w:style w:type="character" w:styleId="UnresolvedMention">
    <w:name w:val="Unresolved Mention"/>
    <w:basedOn w:val="DefaultParagraphFont"/>
    <w:uiPriority w:val="99"/>
    <w:semiHidden/>
    <w:unhideWhenUsed/>
    <w:rsid w:val="00140196"/>
    <w:rPr>
      <w:color w:val="605E5C"/>
      <w:shd w:val="clear" w:color="auto" w:fill="E1DFDD"/>
    </w:rPr>
  </w:style>
  <w:style w:type="character" w:styleId="FollowedHyperlink">
    <w:name w:val="FollowedHyperlink"/>
    <w:basedOn w:val="DefaultParagraphFont"/>
    <w:uiPriority w:val="99"/>
    <w:semiHidden/>
    <w:unhideWhenUsed/>
    <w:rsid w:val="00140196"/>
    <w:rPr>
      <w:color w:val="954F72" w:themeColor="followedHyperlink"/>
      <w:u w:val="single"/>
    </w:rPr>
  </w:style>
  <w:style w:type="paragraph" w:styleId="NormalWeb">
    <w:name w:val="Normal (Web)"/>
    <w:basedOn w:val="Normal"/>
    <w:uiPriority w:val="99"/>
    <w:unhideWhenUsed/>
    <w:rsid w:val="00022FF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87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5595">
      <w:bodyDiv w:val="1"/>
      <w:marLeft w:val="0"/>
      <w:marRight w:val="0"/>
      <w:marTop w:val="0"/>
      <w:marBottom w:val="0"/>
      <w:divBdr>
        <w:top w:val="none" w:sz="0" w:space="0" w:color="auto"/>
        <w:left w:val="none" w:sz="0" w:space="0" w:color="auto"/>
        <w:bottom w:val="none" w:sz="0" w:space="0" w:color="auto"/>
        <w:right w:val="none" w:sz="0" w:space="0" w:color="auto"/>
      </w:divBdr>
    </w:div>
    <w:div w:id="358048218">
      <w:bodyDiv w:val="1"/>
      <w:marLeft w:val="0"/>
      <w:marRight w:val="0"/>
      <w:marTop w:val="0"/>
      <w:marBottom w:val="0"/>
      <w:divBdr>
        <w:top w:val="none" w:sz="0" w:space="0" w:color="auto"/>
        <w:left w:val="none" w:sz="0" w:space="0" w:color="auto"/>
        <w:bottom w:val="none" w:sz="0" w:space="0" w:color="auto"/>
        <w:right w:val="none" w:sz="0" w:space="0" w:color="auto"/>
      </w:divBdr>
    </w:div>
    <w:div w:id="562523828">
      <w:bodyDiv w:val="1"/>
      <w:marLeft w:val="0"/>
      <w:marRight w:val="0"/>
      <w:marTop w:val="0"/>
      <w:marBottom w:val="0"/>
      <w:divBdr>
        <w:top w:val="none" w:sz="0" w:space="0" w:color="auto"/>
        <w:left w:val="none" w:sz="0" w:space="0" w:color="auto"/>
        <w:bottom w:val="none" w:sz="0" w:space="0" w:color="auto"/>
        <w:right w:val="none" w:sz="0" w:space="0" w:color="auto"/>
      </w:divBdr>
    </w:div>
    <w:div w:id="565802545">
      <w:bodyDiv w:val="1"/>
      <w:marLeft w:val="0"/>
      <w:marRight w:val="0"/>
      <w:marTop w:val="0"/>
      <w:marBottom w:val="0"/>
      <w:divBdr>
        <w:top w:val="none" w:sz="0" w:space="0" w:color="auto"/>
        <w:left w:val="none" w:sz="0" w:space="0" w:color="auto"/>
        <w:bottom w:val="none" w:sz="0" w:space="0" w:color="auto"/>
        <w:right w:val="none" w:sz="0" w:space="0" w:color="auto"/>
      </w:divBdr>
    </w:div>
    <w:div w:id="644356383">
      <w:bodyDiv w:val="1"/>
      <w:marLeft w:val="0"/>
      <w:marRight w:val="0"/>
      <w:marTop w:val="0"/>
      <w:marBottom w:val="0"/>
      <w:divBdr>
        <w:top w:val="none" w:sz="0" w:space="0" w:color="auto"/>
        <w:left w:val="none" w:sz="0" w:space="0" w:color="auto"/>
        <w:bottom w:val="none" w:sz="0" w:space="0" w:color="auto"/>
        <w:right w:val="none" w:sz="0" w:space="0" w:color="auto"/>
      </w:divBdr>
    </w:div>
    <w:div w:id="767579765">
      <w:bodyDiv w:val="1"/>
      <w:marLeft w:val="0"/>
      <w:marRight w:val="0"/>
      <w:marTop w:val="0"/>
      <w:marBottom w:val="0"/>
      <w:divBdr>
        <w:top w:val="none" w:sz="0" w:space="0" w:color="auto"/>
        <w:left w:val="none" w:sz="0" w:space="0" w:color="auto"/>
        <w:bottom w:val="none" w:sz="0" w:space="0" w:color="auto"/>
        <w:right w:val="none" w:sz="0" w:space="0" w:color="auto"/>
      </w:divBdr>
    </w:div>
    <w:div w:id="793790479">
      <w:bodyDiv w:val="1"/>
      <w:marLeft w:val="0"/>
      <w:marRight w:val="0"/>
      <w:marTop w:val="0"/>
      <w:marBottom w:val="0"/>
      <w:divBdr>
        <w:top w:val="none" w:sz="0" w:space="0" w:color="auto"/>
        <w:left w:val="none" w:sz="0" w:space="0" w:color="auto"/>
        <w:bottom w:val="none" w:sz="0" w:space="0" w:color="auto"/>
        <w:right w:val="none" w:sz="0" w:space="0" w:color="auto"/>
      </w:divBdr>
    </w:div>
    <w:div w:id="1141270188">
      <w:bodyDiv w:val="1"/>
      <w:marLeft w:val="0"/>
      <w:marRight w:val="0"/>
      <w:marTop w:val="0"/>
      <w:marBottom w:val="0"/>
      <w:divBdr>
        <w:top w:val="none" w:sz="0" w:space="0" w:color="auto"/>
        <w:left w:val="none" w:sz="0" w:space="0" w:color="auto"/>
        <w:bottom w:val="none" w:sz="0" w:space="0" w:color="auto"/>
        <w:right w:val="none" w:sz="0" w:space="0" w:color="auto"/>
      </w:divBdr>
    </w:div>
    <w:div w:id="1352487534">
      <w:bodyDiv w:val="1"/>
      <w:marLeft w:val="0"/>
      <w:marRight w:val="0"/>
      <w:marTop w:val="0"/>
      <w:marBottom w:val="0"/>
      <w:divBdr>
        <w:top w:val="none" w:sz="0" w:space="0" w:color="auto"/>
        <w:left w:val="none" w:sz="0" w:space="0" w:color="auto"/>
        <w:bottom w:val="none" w:sz="0" w:space="0" w:color="auto"/>
        <w:right w:val="none" w:sz="0" w:space="0" w:color="auto"/>
      </w:divBdr>
      <w:divsChild>
        <w:div w:id="2052725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801471">
              <w:marLeft w:val="0"/>
              <w:marRight w:val="0"/>
              <w:marTop w:val="0"/>
              <w:marBottom w:val="0"/>
              <w:divBdr>
                <w:top w:val="none" w:sz="0" w:space="0" w:color="auto"/>
                <w:left w:val="none" w:sz="0" w:space="0" w:color="auto"/>
                <w:bottom w:val="none" w:sz="0" w:space="0" w:color="auto"/>
                <w:right w:val="none" w:sz="0" w:space="0" w:color="auto"/>
              </w:divBdr>
              <w:divsChild>
                <w:div w:id="1568880333">
                  <w:marLeft w:val="0"/>
                  <w:marRight w:val="0"/>
                  <w:marTop w:val="0"/>
                  <w:marBottom w:val="0"/>
                  <w:divBdr>
                    <w:top w:val="none" w:sz="0" w:space="0" w:color="auto"/>
                    <w:left w:val="none" w:sz="0" w:space="0" w:color="auto"/>
                    <w:bottom w:val="none" w:sz="0" w:space="0" w:color="auto"/>
                    <w:right w:val="none" w:sz="0" w:space="0" w:color="auto"/>
                  </w:divBdr>
                  <w:divsChild>
                    <w:div w:id="1872450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68439">
                          <w:marLeft w:val="0"/>
                          <w:marRight w:val="0"/>
                          <w:marTop w:val="0"/>
                          <w:marBottom w:val="0"/>
                          <w:divBdr>
                            <w:top w:val="none" w:sz="0" w:space="0" w:color="auto"/>
                            <w:left w:val="none" w:sz="0" w:space="0" w:color="auto"/>
                            <w:bottom w:val="none" w:sz="0" w:space="0" w:color="auto"/>
                            <w:right w:val="none" w:sz="0" w:space="0" w:color="auto"/>
                          </w:divBdr>
                          <w:divsChild>
                            <w:div w:id="1352532915">
                              <w:marLeft w:val="0"/>
                              <w:marRight w:val="0"/>
                              <w:marTop w:val="0"/>
                              <w:marBottom w:val="0"/>
                              <w:divBdr>
                                <w:top w:val="none" w:sz="0" w:space="0" w:color="auto"/>
                                <w:left w:val="none" w:sz="0" w:space="0" w:color="auto"/>
                                <w:bottom w:val="none" w:sz="0" w:space="0" w:color="auto"/>
                                <w:right w:val="none" w:sz="0" w:space="0" w:color="auto"/>
                              </w:divBdr>
                              <w:divsChild>
                                <w:div w:id="189222533">
                                  <w:marLeft w:val="0"/>
                                  <w:marRight w:val="0"/>
                                  <w:marTop w:val="0"/>
                                  <w:marBottom w:val="0"/>
                                  <w:divBdr>
                                    <w:top w:val="none" w:sz="0" w:space="0" w:color="auto"/>
                                    <w:left w:val="none" w:sz="0" w:space="0" w:color="auto"/>
                                    <w:bottom w:val="none" w:sz="0" w:space="0" w:color="auto"/>
                                    <w:right w:val="none" w:sz="0" w:space="0" w:color="auto"/>
                                  </w:divBdr>
                                </w:div>
                                <w:div w:id="518852813">
                                  <w:marLeft w:val="0"/>
                                  <w:marRight w:val="0"/>
                                  <w:marTop w:val="0"/>
                                  <w:marBottom w:val="0"/>
                                  <w:divBdr>
                                    <w:top w:val="none" w:sz="0" w:space="0" w:color="auto"/>
                                    <w:left w:val="none" w:sz="0" w:space="0" w:color="auto"/>
                                    <w:bottom w:val="none" w:sz="0" w:space="0" w:color="auto"/>
                                    <w:right w:val="none" w:sz="0" w:space="0" w:color="auto"/>
                                  </w:divBdr>
                                </w:div>
                                <w:div w:id="580410595">
                                  <w:marLeft w:val="0"/>
                                  <w:marRight w:val="0"/>
                                  <w:marTop w:val="0"/>
                                  <w:marBottom w:val="0"/>
                                  <w:divBdr>
                                    <w:top w:val="none" w:sz="0" w:space="0" w:color="auto"/>
                                    <w:left w:val="none" w:sz="0" w:space="0" w:color="auto"/>
                                    <w:bottom w:val="none" w:sz="0" w:space="0" w:color="auto"/>
                                    <w:right w:val="none" w:sz="0" w:space="0" w:color="auto"/>
                                  </w:divBdr>
                                </w:div>
                                <w:div w:id="18112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513303">
      <w:bodyDiv w:val="1"/>
      <w:marLeft w:val="0"/>
      <w:marRight w:val="0"/>
      <w:marTop w:val="0"/>
      <w:marBottom w:val="0"/>
      <w:divBdr>
        <w:top w:val="none" w:sz="0" w:space="0" w:color="auto"/>
        <w:left w:val="none" w:sz="0" w:space="0" w:color="auto"/>
        <w:bottom w:val="none" w:sz="0" w:space="0" w:color="auto"/>
        <w:right w:val="none" w:sz="0" w:space="0" w:color="auto"/>
      </w:divBdr>
    </w:div>
    <w:div w:id="1739862895">
      <w:bodyDiv w:val="1"/>
      <w:marLeft w:val="0"/>
      <w:marRight w:val="0"/>
      <w:marTop w:val="0"/>
      <w:marBottom w:val="0"/>
      <w:divBdr>
        <w:top w:val="none" w:sz="0" w:space="0" w:color="auto"/>
        <w:left w:val="none" w:sz="0" w:space="0" w:color="auto"/>
        <w:bottom w:val="none" w:sz="0" w:space="0" w:color="auto"/>
        <w:right w:val="none" w:sz="0" w:space="0" w:color="auto"/>
      </w:divBdr>
    </w:div>
    <w:div w:id="1797212825">
      <w:bodyDiv w:val="1"/>
      <w:marLeft w:val="0"/>
      <w:marRight w:val="0"/>
      <w:marTop w:val="0"/>
      <w:marBottom w:val="0"/>
      <w:divBdr>
        <w:top w:val="none" w:sz="0" w:space="0" w:color="auto"/>
        <w:left w:val="none" w:sz="0" w:space="0" w:color="auto"/>
        <w:bottom w:val="none" w:sz="0" w:space="0" w:color="auto"/>
        <w:right w:val="none" w:sz="0" w:space="0" w:color="auto"/>
      </w:divBdr>
    </w:div>
    <w:div w:id="1938362550">
      <w:bodyDiv w:val="1"/>
      <w:marLeft w:val="0"/>
      <w:marRight w:val="0"/>
      <w:marTop w:val="0"/>
      <w:marBottom w:val="0"/>
      <w:divBdr>
        <w:top w:val="none" w:sz="0" w:space="0" w:color="auto"/>
        <w:left w:val="none" w:sz="0" w:space="0" w:color="auto"/>
        <w:bottom w:val="none" w:sz="0" w:space="0" w:color="auto"/>
        <w:right w:val="none" w:sz="0" w:space="0" w:color="auto"/>
      </w:divBdr>
    </w:div>
    <w:div w:id="1985115833">
      <w:bodyDiv w:val="1"/>
      <w:marLeft w:val="0"/>
      <w:marRight w:val="0"/>
      <w:marTop w:val="0"/>
      <w:marBottom w:val="0"/>
      <w:divBdr>
        <w:top w:val="none" w:sz="0" w:space="0" w:color="auto"/>
        <w:left w:val="none" w:sz="0" w:space="0" w:color="auto"/>
        <w:bottom w:val="none" w:sz="0" w:space="0" w:color="auto"/>
        <w:right w:val="none" w:sz="0" w:space="0" w:color="auto"/>
      </w:divBdr>
    </w:div>
    <w:div w:id="20611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re.org.uk/wp-content/uploads/2023/08/State-of-the-Green-Belt-2023-onlin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re.org.uk/opinions/our-view-on-labours-five-golden-rules-for-development-on-the-grey-be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re.org.uk/brownfield-policy-guidance-no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966aa544-9c9d-4e0a-908e-31bc00001d6b">
      <Url xsi:nil="true"/>
      <Description xsi:nil="true"/>
    </Thumbnai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4DDC16A680E3499B6513DE5D6A60C9" ma:contentTypeVersion="14" ma:contentTypeDescription="Create a new document." ma:contentTypeScope="" ma:versionID="f08819f960b4368fb59b521175107a0c">
  <xsd:schema xmlns:xsd="http://www.w3.org/2001/XMLSchema" xmlns:xs="http://www.w3.org/2001/XMLSchema" xmlns:p="http://schemas.microsoft.com/office/2006/metadata/properties" xmlns:ns2="966aa544-9c9d-4e0a-908e-31bc00001d6b" xmlns:ns3="4f3b7ad8-49be-4609-aed0-9dc4cd0bf488" targetNamespace="http://schemas.microsoft.com/office/2006/metadata/properties" ma:root="true" ma:fieldsID="2210eec2eff978ab1b78b2b3703563f1" ns2:_="" ns3:_="">
    <xsd:import namespace="966aa544-9c9d-4e0a-908e-31bc00001d6b"/>
    <xsd:import namespace="4f3b7ad8-49be-4609-aed0-9dc4cd0bf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humbnai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aa544-9c9d-4e0a-908e-31bc00001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b7ad8-49be-4609-aed0-9dc4cd0bf4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68EE4-5E42-4A93-842B-DBAA847E379A}">
  <ds:schemaRefs>
    <ds:schemaRef ds:uri="http://schemas.microsoft.com/office/2006/metadata/properties"/>
    <ds:schemaRef ds:uri="http://schemas.microsoft.com/office/infopath/2007/PartnerControls"/>
    <ds:schemaRef ds:uri="966aa544-9c9d-4e0a-908e-31bc00001d6b"/>
  </ds:schemaRefs>
</ds:datastoreItem>
</file>

<file path=customXml/itemProps2.xml><?xml version="1.0" encoding="utf-8"?>
<ds:datastoreItem xmlns:ds="http://schemas.openxmlformats.org/officeDocument/2006/customXml" ds:itemID="{00D07840-D10C-44B1-A024-CA9CE9324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aa544-9c9d-4e0a-908e-31bc00001d6b"/>
    <ds:schemaRef ds:uri="4f3b7ad8-49be-4609-aed0-9dc4cd0bf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F4F50-5C75-4A00-B570-EACD6BD217D7}">
  <ds:schemaRefs>
    <ds:schemaRef ds:uri="http://schemas.openxmlformats.org/officeDocument/2006/bibliography"/>
  </ds:schemaRefs>
</ds:datastoreItem>
</file>

<file path=customXml/itemProps4.xml><?xml version="1.0" encoding="utf-8"?>
<ds:datastoreItem xmlns:ds="http://schemas.openxmlformats.org/officeDocument/2006/customXml" ds:itemID="{7D150887-A992-429F-B154-391F106E2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Siddall</dc:creator>
  <cp:keywords/>
  <dc:description/>
  <cp:lastModifiedBy>Maggie Murphy-Codrington</cp:lastModifiedBy>
  <cp:revision>27</cp:revision>
  <cp:lastPrinted>2023-07-23T16:06:00Z</cp:lastPrinted>
  <dcterms:created xsi:type="dcterms:W3CDTF">2025-05-13T14:23:00Z</dcterms:created>
  <dcterms:modified xsi:type="dcterms:W3CDTF">2025-05-15T11:13:00Z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0x010100D34DDC16A680E3499B6513DE5D6A60C9</vt:lpwstr>
  </property>
  <property fmtid="{D5CDD505-2E9C-101B-9397-08002B2CF9AE}" pid="3" name="Order">
    <vt:r8>1440800</vt:r8>
  </property>
</Properties>
</file>