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2D5" w:rsidRDefault="001772D5" w:rsidP="0039693C">
      <w:pPr>
        <w:pStyle w:val="Heading1"/>
        <w:rPr>
          <w:rFonts w:ascii="Arial" w:hAnsi="Arial" w:cs="Arial"/>
          <w:b/>
          <w:color w:val="auto"/>
          <w:u w:val="single"/>
        </w:rPr>
      </w:pPr>
      <w:bookmarkStart w:id="0" w:name="_GoBack"/>
      <w:bookmarkEnd w:id="0"/>
      <w:r>
        <w:rPr>
          <w:rFonts w:ascii="Arial" w:hAnsi="Arial" w:cs="Arial"/>
          <w:b/>
          <w:color w:val="auto"/>
          <w:u w:val="single"/>
        </w:rPr>
        <w:t>Appendix 1</w:t>
      </w:r>
    </w:p>
    <w:p w:rsidR="007D4225" w:rsidRPr="003322BE" w:rsidRDefault="001772D5" w:rsidP="0039693C">
      <w:pPr>
        <w:pStyle w:val="Heading1"/>
        <w:rPr>
          <w:rFonts w:ascii="Arial" w:hAnsi="Arial" w:cs="Arial"/>
          <w:b/>
          <w:color w:val="auto"/>
          <w:u w:val="single"/>
        </w:rPr>
      </w:pPr>
      <w:r>
        <w:rPr>
          <w:rFonts w:ascii="Arial" w:hAnsi="Arial" w:cs="Arial"/>
          <w:b/>
          <w:color w:val="auto"/>
          <w:u w:val="single"/>
        </w:rPr>
        <w:t xml:space="preserve">Assessment of Individual Policies: </w:t>
      </w:r>
      <w:r w:rsidRPr="003322BE">
        <w:rPr>
          <w:rFonts w:ascii="Arial" w:hAnsi="Arial" w:cs="Arial"/>
          <w:b/>
          <w:color w:val="auto"/>
          <w:u w:val="single"/>
        </w:rPr>
        <w:t xml:space="preserve">Erewash </w:t>
      </w:r>
      <w:r>
        <w:rPr>
          <w:rFonts w:ascii="Arial" w:hAnsi="Arial" w:cs="Arial"/>
          <w:b/>
          <w:color w:val="auto"/>
          <w:u w:val="single"/>
        </w:rPr>
        <w:t>Borough Council Proposed Core Strategy Review 2022</w:t>
      </w:r>
    </w:p>
    <w:p w:rsidR="007D4225" w:rsidRPr="003322BE" w:rsidRDefault="007D4225" w:rsidP="0039693C">
      <w:pPr>
        <w:rPr>
          <w:b/>
          <w:u w:val="single"/>
        </w:rPr>
      </w:pPr>
    </w:p>
    <w:p w:rsidR="007D4225" w:rsidRDefault="00EC1C1E" w:rsidP="0039693C">
      <w:pPr>
        <w:pStyle w:val="Heading2"/>
        <w:rPr>
          <w:rFonts w:ascii="Arial" w:hAnsi="Arial" w:cs="Arial"/>
          <w:b/>
          <w:color w:val="auto"/>
        </w:rPr>
      </w:pPr>
      <w:r w:rsidRPr="00EC1C1E">
        <w:rPr>
          <w:rFonts w:ascii="Arial" w:hAnsi="Arial" w:cs="Arial"/>
          <w:b/>
          <w:color w:val="auto"/>
        </w:rPr>
        <w:t>What</w:t>
      </w:r>
      <w:r>
        <w:rPr>
          <w:rFonts w:ascii="Arial" w:hAnsi="Arial" w:cs="Arial"/>
          <w:b/>
          <w:color w:val="auto"/>
        </w:rPr>
        <w:t xml:space="preserve"> Proposal is the E</w:t>
      </w:r>
      <w:r w:rsidR="006271B0">
        <w:rPr>
          <w:rFonts w:ascii="Arial" w:hAnsi="Arial" w:cs="Arial"/>
          <w:b/>
          <w:color w:val="auto"/>
        </w:rPr>
        <w:t xml:space="preserve">qualities Impact Assessment (EqIA) </w:t>
      </w:r>
      <w:r>
        <w:rPr>
          <w:rFonts w:ascii="Arial" w:hAnsi="Arial" w:cs="Arial"/>
          <w:b/>
          <w:color w:val="auto"/>
        </w:rPr>
        <w:t>Assessing?</w:t>
      </w:r>
    </w:p>
    <w:p w:rsidR="00EC1C1E" w:rsidRDefault="00EC1C1E" w:rsidP="0039693C">
      <w:pPr>
        <w:rPr>
          <w:sz w:val="22"/>
        </w:rPr>
      </w:pPr>
      <w:r>
        <w:rPr>
          <w:sz w:val="22"/>
        </w:rPr>
        <w:t xml:space="preserve">The EqIA is assessing </w:t>
      </w:r>
      <w:r w:rsidR="00356291">
        <w:rPr>
          <w:sz w:val="22"/>
        </w:rPr>
        <w:t>the</w:t>
      </w:r>
      <w:r>
        <w:rPr>
          <w:sz w:val="22"/>
        </w:rPr>
        <w:t xml:space="preserve"> Council’s Draft Local Plan policies</w:t>
      </w:r>
      <w:r w:rsidR="00356291">
        <w:rPr>
          <w:sz w:val="22"/>
        </w:rPr>
        <w:t xml:space="preserve"> (Erewash Core Strategy Review), which </w:t>
      </w:r>
      <w:r>
        <w:rPr>
          <w:sz w:val="22"/>
        </w:rPr>
        <w:t xml:space="preserve">details the new planning policies </w:t>
      </w:r>
      <w:r w:rsidR="00356291">
        <w:rPr>
          <w:sz w:val="22"/>
        </w:rPr>
        <w:t xml:space="preserve">covering the period 2022-2037. </w:t>
      </w:r>
      <w:r w:rsidR="000D1047">
        <w:rPr>
          <w:sz w:val="22"/>
        </w:rPr>
        <w:t xml:space="preserve">Erewash Borough Council is committed to promoting a Local Plan that respects and values everyone’s differences and needs. Equality and diversity is integral to Erewash Borough Council. </w:t>
      </w:r>
    </w:p>
    <w:p w:rsidR="00356291" w:rsidRDefault="00356291" w:rsidP="0039693C">
      <w:pPr>
        <w:pStyle w:val="Heading2"/>
        <w:rPr>
          <w:rFonts w:ascii="Arial" w:eastAsiaTheme="minorHAnsi" w:hAnsi="Arial" w:cs="Arial"/>
          <w:color w:val="auto"/>
          <w:sz w:val="22"/>
          <w:szCs w:val="22"/>
        </w:rPr>
      </w:pPr>
    </w:p>
    <w:p w:rsidR="000D1047" w:rsidRDefault="006271B0" w:rsidP="0039693C">
      <w:pPr>
        <w:pStyle w:val="Heading2"/>
        <w:rPr>
          <w:rFonts w:ascii="Arial" w:hAnsi="Arial" w:cs="Arial"/>
          <w:b/>
          <w:color w:val="auto"/>
        </w:rPr>
      </w:pPr>
      <w:r>
        <w:rPr>
          <w:rFonts w:ascii="Arial" w:hAnsi="Arial" w:cs="Arial"/>
          <w:b/>
          <w:color w:val="auto"/>
        </w:rPr>
        <w:t>What is the purpose of the EqIA and What is it expected to achieve?</w:t>
      </w:r>
    </w:p>
    <w:p w:rsidR="006271B0" w:rsidRPr="008C4E49" w:rsidRDefault="006271B0" w:rsidP="0039693C">
      <w:pPr>
        <w:rPr>
          <w:sz w:val="22"/>
        </w:rPr>
      </w:pPr>
      <w:r w:rsidRPr="008C4E49">
        <w:rPr>
          <w:sz w:val="22"/>
        </w:rPr>
        <w:t>The purpose of an EqIA is to assess the potential impact of the Local Plan policies on different groups of people within Erewash. An assessment of the Draft Local Plan policies has been undertaken in relation to:</w:t>
      </w:r>
    </w:p>
    <w:p w:rsidR="006271B0" w:rsidRPr="008C4E49" w:rsidRDefault="00CB7C51" w:rsidP="0039693C">
      <w:pPr>
        <w:pStyle w:val="ListParagraph"/>
        <w:numPr>
          <w:ilvl w:val="0"/>
          <w:numId w:val="1"/>
        </w:numPr>
        <w:rPr>
          <w:sz w:val="22"/>
        </w:rPr>
      </w:pPr>
      <w:r w:rsidRPr="008C4E49">
        <w:rPr>
          <w:sz w:val="22"/>
        </w:rPr>
        <w:t>Age</w:t>
      </w:r>
    </w:p>
    <w:p w:rsidR="00CB7C51" w:rsidRPr="008C4E49" w:rsidRDefault="00CB7C51" w:rsidP="0039693C">
      <w:pPr>
        <w:pStyle w:val="ListParagraph"/>
        <w:numPr>
          <w:ilvl w:val="0"/>
          <w:numId w:val="1"/>
        </w:numPr>
        <w:rPr>
          <w:sz w:val="22"/>
        </w:rPr>
      </w:pPr>
      <w:r w:rsidRPr="008C4E49">
        <w:rPr>
          <w:sz w:val="22"/>
        </w:rPr>
        <w:t>Sex/Gender</w:t>
      </w:r>
    </w:p>
    <w:p w:rsidR="00CB7C51" w:rsidRPr="008C4E49" w:rsidRDefault="00CB7C51" w:rsidP="0039693C">
      <w:pPr>
        <w:pStyle w:val="ListParagraph"/>
        <w:numPr>
          <w:ilvl w:val="0"/>
          <w:numId w:val="1"/>
        </w:numPr>
        <w:rPr>
          <w:sz w:val="22"/>
        </w:rPr>
      </w:pPr>
      <w:r w:rsidRPr="008C4E49">
        <w:rPr>
          <w:sz w:val="22"/>
        </w:rPr>
        <w:t>Ethnicity/Race</w:t>
      </w:r>
    </w:p>
    <w:p w:rsidR="00CB7C51" w:rsidRPr="008C4E49" w:rsidRDefault="00CB7C51" w:rsidP="0039693C">
      <w:pPr>
        <w:pStyle w:val="ListParagraph"/>
        <w:numPr>
          <w:ilvl w:val="0"/>
          <w:numId w:val="1"/>
        </w:numPr>
        <w:rPr>
          <w:sz w:val="22"/>
        </w:rPr>
      </w:pPr>
      <w:r w:rsidRPr="008C4E49">
        <w:rPr>
          <w:sz w:val="22"/>
        </w:rPr>
        <w:t>Disability</w:t>
      </w:r>
    </w:p>
    <w:p w:rsidR="00CB7C51" w:rsidRPr="008C4E49" w:rsidRDefault="00CB7C51" w:rsidP="0039693C">
      <w:pPr>
        <w:pStyle w:val="ListParagraph"/>
        <w:numPr>
          <w:ilvl w:val="0"/>
          <w:numId w:val="1"/>
        </w:numPr>
        <w:rPr>
          <w:sz w:val="22"/>
        </w:rPr>
      </w:pPr>
      <w:r w:rsidRPr="008C4E49">
        <w:rPr>
          <w:sz w:val="22"/>
        </w:rPr>
        <w:t>Sexual orientation</w:t>
      </w:r>
    </w:p>
    <w:p w:rsidR="00CB7C51" w:rsidRPr="008C4E49" w:rsidRDefault="00CB7C51" w:rsidP="0039693C">
      <w:pPr>
        <w:pStyle w:val="ListParagraph"/>
        <w:numPr>
          <w:ilvl w:val="0"/>
          <w:numId w:val="1"/>
        </w:numPr>
        <w:rPr>
          <w:sz w:val="22"/>
        </w:rPr>
      </w:pPr>
      <w:r w:rsidRPr="008C4E49">
        <w:rPr>
          <w:sz w:val="22"/>
        </w:rPr>
        <w:t>Pregnancy/Maternity</w:t>
      </w:r>
    </w:p>
    <w:p w:rsidR="00CB7C51" w:rsidRPr="008C4E49" w:rsidRDefault="00CB7C51" w:rsidP="0039693C">
      <w:pPr>
        <w:pStyle w:val="ListParagraph"/>
        <w:numPr>
          <w:ilvl w:val="0"/>
          <w:numId w:val="1"/>
        </w:numPr>
        <w:rPr>
          <w:sz w:val="22"/>
        </w:rPr>
      </w:pPr>
      <w:r w:rsidRPr="008C4E49">
        <w:rPr>
          <w:sz w:val="22"/>
        </w:rPr>
        <w:t>Gender reassignment</w:t>
      </w:r>
    </w:p>
    <w:p w:rsidR="00CB7C51" w:rsidRPr="008C4E49" w:rsidRDefault="00CB7C51" w:rsidP="0039693C">
      <w:pPr>
        <w:pStyle w:val="ListParagraph"/>
        <w:numPr>
          <w:ilvl w:val="0"/>
          <w:numId w:val="1"/>
        </w:numPr>
        <w:rPr>
          <w:sz w:val="22"/>
        </w:rPr>
      </w:pPr>
      <w:r w:rsidRPr="008C4E49">
        <w:rPr>
          <w:sz w:val="22"/>
        </w:rPr>
        <w:t>Marriage/Civil Partnership</w:t>
      </w:r>
    </w:p>
    <w:p w:rsidR="007D4225" w:rsidRDefault="009D26DA" w:rsidP="0039693C">
      <w:pPr>
        <w:pStyle w:val="ListParagraph"/>
        <w:numPr>
          <w:ilvl w:val="0"/>
          <w:numId w:val="1"/>
        </w:numPr>
        <w:spacing w:line="720" w:lineRule="auto"/>
        <w:rPr>
          <w:sz w:val="22"/>
        </w:rPr>
      </w:pPr>
      <w:r>
        <w:rPr>
          <w:sz w:val="22"/>
        </w:rPr>
        <w:t>Religion/ Belief</w:t>
      </w:r>
    </w:p>
    <w:p w:rsidR="003C1A38" w:rsidRDefault="003C1A38" w:rsidP="0039693C">
      <w:pPr>
        <w:pStyle w:val="Heading2"/>
        <w:rPr>
          <w:rFonts w:ascii="Arial" w:hAnsi="Arial" w:cs="Arial"/>
          <w:b/>
          <w:color w:val="auto"/>
        </w:rPr>
      </w:pPr>
      <w:r>
        <w:rPr>
          <w:rFonts w:ascii="Arial" w:hAnsi="Arial" w:cs="Arial"/>
          <w:b/>
          <w:color w:val="auto"/>
        </w:rPr>
        <w:t>The Following questions were considered when undertaking the EqIA:</w:t>
      </w:r>
    </w:p>
    <w:p w:rsidR="003C1A38" w:rsidRDefault="003C1A38" w:rsidP="0039693C">
      <w:pPr>
        <w:pStyle w:val="ListParagraph"/>
        <w:numPr>
          <w:ilvl w:val="0"/>
          <w:numId w:val="2"/>
        </w:numPr>
        <w:rPr>
          <w:sz w:val="22"/>
        </w:rPr>
      </w:pPr>
      <w:r>
        <w:rPr>
          <w:sz w:val="22"/>
        </w:rPr>
        <w:t>Does this policy target or exclude a specific equality group or community?</w:t>
      </w:r>
    </w:p>
    <w:p w:rsidR="003C1A38" w:rsidRDefault="003C1A38" w:rsidP="0039693C">
      <w:pPr>
        <w:pStyle w:val="ListParagraph"/>
        <w:numPr>
          <w:ilvl w:val="0"/>
          <w:numId w:val="2"/>
        </w:numPr>
        <w:rPr>
          <w:sz w:val="22"/>
        </w:rPr>
      </w:pPr>
      <w:r>
        <w:rPr>
          <w:sz w:val="22"/>
        </w:rPr>
        <w:t>Does this policy affect some equality groups or communities disproportionately and can this be justified?</w:t>
      </w:r>
    </w:p>
    <w:p w:rsidR="003C1A38" w:rsidRDefault="003C1A38" w:rsidP="0039693C">
      <w:pPr>
        <w:pStyle w:val="ListParagraph"/>
        <w:numPr>
          <w:ilvl w:val="0"/>
          <w:numId w:val="2"/>
        </w:numPr>
        <w:rPr>
          <w:sz w:val="22"/>
        </w:rPr>
      </w:pPr>
      <w:r>
        <w:rPr>
          <w:sz w:val="22"/>
        </w:rPr>
        <w:lastRenderedPageBreak/>
        <w:t>Are there any barriers that might make access difficult or stop different groups or communities accessing the benefits of the policy?</w:t>
      </w:r>
    </w:p>
    <w:p w:rsidR="003C1A38" w:rsidRPr="003C1A38" w:rsidRDefault="003C1A38" w:rsidP="0039693C">
      <w:pPr>
        <w:pStyle w:val="ListParagraph"/>
        <w:numPr>
          <w:ilvl w:val="0"/>
          <w:numId w:val="2"/>
        </w:numPr>
        <w:rPr>
          <w:sz w:val="22"/>
        </w:rPr>
      </w:pPr>
      <w:r>
        <w:rPr>
          <w:sz w:val="22"/>
        </w:rPr>
        <w:t>Could the policy promote equality between different groups or communities?</w:t>
      </w:r>
    </w:p>
    <w:p w:rsidR="00360ABB" w:rsidRPr="00360ABB" w:rsidRDefault="00360ABB" w:rsidP="0039693C">
      <w:pPr>
        <w:rPr>
          <w:sz w:val="22"/>
        </w:rPr>
      </w:pPr>
    </w:p>
    <w:p w:rsidR="00E13575" w:rsidRDefault="00E13575" w:rsidP="0039693C"/>
    <w:p w:rsidR="007D4225" w:rsidRPr="007D4225" w:rsidRDefault="007D4225" w:rsidP="0039693C">
      <w:pPr>
        <w:rPr>
          <w:b/>
          <w:u w:val="single"/>
        </w:rPr>
      </w:pPr>
      <w:r>
        <w:rPr>
          <w:b/>
          <w:u w:val="single"/>
        </w:rPr>
        <w:t>Erewash Borough Council Equalities Impact Assessment</w:t>
      </w:r>
    </w:p>
    <w:tbl>
      <w:tblPr>
        <w:tblStyle w:val="TableGrid"/>
        <w:tblW w:w="0" w:type="auto"/>
        <w:tblLayout w:type="fixed"/>
        <w:tblLook w:val="04A0" w:firstRow="1" w:lastRow="0" w:firstColumn="1" w:lastColumn="0" w:noHBand="0" w:noVBand="1"/>
        <w:tblCaption w:val="Erewash Borough Council Equalities Impact Assessment"/>
        <w:tblDescription w:val="Table showing the results of the Erewash Borough Council Equalities Impact Assessment."/>
      </w:tblPr>
      <w:tblGrid>
        <w:gridCol w:w="1595"/>
        <w:gridCol w:w="2369"/>
        <w:gridCol w:w="400"/>
        <w:gridCol w:w="432"/>
        <w:gridCol w:w="433"/>
        <w:gridCol w:w="433"/>
        <w:gridCol w:w="433"/>
        <w:gridCol w:w="433"/>
        <w:gridCol w:w="433"/>
        <w:gridCol w:w="433"/>
        <w:gridCol w:w="429"/>
        <w:gridCol w:w="429"/>
        <w:gridCol w:w="5696"/>
      </w:tblGrid>
      <w:tr w:rsidR="001772D5" w:rsidTr="001772D5">
        <w:trPr>
          <w:cantSplit/>
          <w:trHeight w:val="2684"/>
          <w:tblHeader/>
        </w:trPr>
        <w:tc>
          <w:tcPr>
            <w:tcW w:w="1595" w:type="dxa"/>
            <w:shd w:val="clear" w:color="auto" w:fill="CCFFFF"/>
          </w:tcPr>
          <w:p w:rsidR="001772D5" w:rsidRPr="00FD526E" w:rsidRDefault="001772D5" w:rsidP="0039693C">
            <w:pPr>
              <w:rPr>
                <w:b/>
              </w:rPr>
            </w:pPr>
            <w:r>
              <w:rPr>
                <w:b/>
              </w:rPr>
              <w:t>Policy</w:t>
            </w:r>
          </w:p>
        </w:tc>
        <w:tc>
          <w:tcPr>
            <w:tcW w:w="2369" w:type="dxa"/>
            <w:shd w:val="clear" w:color="auto" w:fill="CCFFFF"/>
          </w:tcPr>
          <w:p w:rsidR="001772D5" w:rsidRPr="00FD526E" w:rsidRDefault="001772D5" w:rsidP="0039693C">
            <w:pPr>
              <w:rPr>
                <w:b/>
              </w:rPr>
            </w:pPr>
            <w:r>
              <w:rPr>
                <w:b/>
              </w:rPr>
              <w:t>Description</w:t>
            </w:r>
          </w:p>
        </w:tc>
        <w:tc>
          <w:tcPr>
            <w:tcW w:w="400" w:type="dxa"/>
            <w:shd w:val="clear" w:color="auto" w:fill="CCFFFF"/>
            <w:textDirection w:val="btLr"/>
          </w:tcPr>
          <w:p w:rsidR="001772D5" w:rsidRPr="00FD526E" w:rsidRDefault="001772D5" w:rsidP="0039693C">
            <w:pPr>
              <w:ind w:left="113" w:right="113"/>
              <w:rPr>
                <w:b/>
                <w:sz w:val="18"/>
              </w:rPr>
            </w:pPr>
            <w:r w:rsidRPr="00FD526E">
              <w:rPr>
                <w:b/>
                <w:sz w:val="18"/>
              </w:rPr>
              <w:t>Age</w:t>
            </w:r>
          </w:p>
        </w:tc>
        <w:tc>
          <w:tcPr>
            <w:tcW w:w="432" w:type="dxa"/>
            <w:shd w:val="clear" w:color="auto" w:fill="CCFFFF"/>
            <w:textDirection w:val="btLr"/>
          </w:tcPr>
          <w:p w:rsidR="001772D5" w:rsidRPr="00FD526E" w:rsidRDefault="001772D5" w:rsidP="0039693C">
            <w:pPr>
              <w:ind w:left="113" w:right="113"/>
              <w:rPr>
                <w:b/>
                <w:sz w:val="18"/>
              </w:rPr>
            </w:pPr>
            <w:r w:rsidRPr="00FD526E">
              <w:rPr>
                <w:b/>
                <w:sz w:val="18"/>
              </w:rPr>
              <w:t>Sex/Gender</w:t>
            </w:r>
          </w:p>
        </w:tc>
        <w:tc>
          <w:tcPr>
            <w:tcW w:w="433" w:type="dxa"/>
            <w:shd w:val="clear" w:color="auto" w:fill="CCFFFF"/>
            <w:textDirection w:val="btLr"/>
          </w:tcPr>
          <w:p w:rsidR="001772D5" w:rsidRPr="00FD526E" w:rsidRDefault="001772D5" w:rsidP="0039693C">
            <w:pPr>
              <w:ind w:left="113" w:right="113"/>
              <w:rPr>
                <w:b/>
                <w:sz w:val="18"/>
              </w:rPr>
            </w:pPr>
            <w:r w:rsidRPr="00FD526E">
              <w:rPr>
                <w:b/>
                <w:sz w:val="18"/>
              </w:rPr>
              <w:t>Ethnicity/Race</w:t>
            </w:r>
          </w:p>
        </w:tc>
        <w:tc>
          <w:tcPr>
            <w:tcW w:w="433" w:type="dxa"/>
            <w:shd w:val="clear" w:color="auto" w:fill="CCFFFF"/>
            <w:textDirection w:val="btLr"/>
          </w:tcPr>
          <w:p w:rsidR="001772D5" w:rsidRPr="00FD526E" w:rsidRDefault="001772D5" w:rsidP="0039693C">
            <w:pPr>
              <w:ind w:left="113" w:right="113"/>
              <w:rPr>
                <w:b/>
                <w:sz w:val="18"/>
              </w:rPr>
            </w:pPr>
            <w:r w:rsidRPr="00FD526E">
              <w:rPr>
                <w:b/>
                <w:sz w:val="18"/>
              </w:rPr>
              <w:t>Disability</w:t>
            </w:r>
          </w:p>
        </w:tc>
        <w:tc>
          <w:tcPr>
            <w:tcW w:w="433" w:type="dxa"/>
            <w:shd w:val="clear" w:color="auto" w:fill="CCFFFF"/>
            <w:textDirection w:val="btLr"/>
          </w:tcPr>
          <w:p w:rsidR="001772D5" w:rsidRPr="00FD526E" w:rsidRDefault="001772D5" w:rsidP="0039693C">
            <w:pPr>
              <w:ind w:left="113" w:right="113"/>
              <w:rPr>
                <w:b/>
                <w:sz w:val="18"/>
              </w:rPr>
            </w:pPr>
            <w:r w:rsidRPr="00FD526E">
              <w:rPr>
                <w:b/>
                <w:sz w:val="18"/>
              </w:rPr>
              <w:t>Sexual Orientation</w:t>
            </w:r>
          </w:p>
        </w:tc>
        <w:tc>
          <w:tcPr>
            <w:tcW w:w="433" w:type="dxa"/>
            <w:shd w:val="clear" w:color="auto" w:fill="CCFFFF"/>
            <w:textDirection w:val="btLr"/>
          </w:tcPr>
          <w:p w:rsidR="001772D5" w:rsidRPr="00FD526E" w:rsidRDefault="001772D5" w:rsidP="0039693C">
            <w:pPr>
              <w:ind w:left="113" w:right="113"/>
              <w:rPr>
                <w:b/>
                <w:sz w:val="18"/>
              </w:rPr>
            </w:pPr>
            <w:r w:rsidRPr="00FD526E">
              <w:rPr>
                <w:b/>
                <w:sz w:val="18"/>
              </w:rPr>
              <w:t>Pregnancy/Maternity</w:t>
            </w:r>
          </w:p>
        </w:tc>
        <w:tc>
          <w:tcPr>
            <w:tcW w:w="433" w:type="dxa"/>
            <w:shd w:val="clear" w:color="auto" w:fill="CCFFFF"/>
            <w:textDirection w:val="btLr"/>
          </w:tcPr>
          <w:p w:rsidR="001772D5" w:rsidRPr="00F069EE" w:rsidRDefault="001772D5" w:rsidP="0039693C">
            <w:pPr>
              <w:ind w:left="113" w:right="113"/>
              <w:rPr>
                <w:b/>
                <w:sz w:val="18"/>
                <w:szCs w:val="18"/>
              </w:rPr>
            </w:pPr>
            <w:r w:rsidRPr="00F069EE">
              <w:rPr>
                <w:b/>
                <w:sz w:val="18"/>
                <w:szCs w:val="18"/>
              </w:rPr>
              <w:t>Gender Reassignment</w:t>
            </w:r>
          </w:p>
        </w:tc>
        <w:tc>
          <w:tcPr>
            <w:tcW w:w="433" w:type="dxa"/>
            <w:shd w:val="clear" w:color="auto" w:fill="CCFFFF"/>
            <w:textDirection w:val="btLr"/>
          </w:tcPr>
          <w:p w:rsidR="001772D5" w:rsidRPr="00F069EE" w:rsidRDefault="001772D5" w:rsidP="0039693C">
            <w:pPr>
              <w:ind w:left="113" w:right="113"/>
              <w:rPr>
                <w:b/>
                <w:sz w:val="18"/>
                <w:szCs w:val="18"/>
              </w:rPr>
            </w:pPr>
            <w:r w:rsidRPr="00F069EE">
              <w:rPr>
                <w:b/>
                <w:sz w:val="18"/>
                <w:szCs w:val="18"/>
              </w:rPr>
              <w:t>Marriage / Civil Partnership</w:t>
            </w:r>
          </w:p>
        </w:tc>
        <w:tc>
          <w:tcPr>
            <w:tcW w:w="429" w:type="dxa"/>
            <w:shd w:val="clear" w:color="auto" w:fill="CCFFFF"/>
            <w:textDirection w:val="btLr"/>
          </w:tcPr>
          <w:p w:rsidR="001772D5" w:rsidRPr="00F069EE" w:rsidRDefault="001772D5" w:rsidP="0039693C">
            <w:pPr>
              <w:ind w:left="113" w:right="113"/>
              <w:rPr>
                <w:b/>
                <w:sz w:val="18"/>
                <w:szCs w:val="18"/>
              </w:rPr>
            </w:pPr>
            <w:r w:rsidRPr="00F069EE">
              <w:rPr>
                <w:b/>
                <w:sz w:val="18"/>
                <w:szCs w:val="18"/>
              </w:rPr>
              <w:t>Religion/ Belief</w:t>
            </w:r>
          </w:p>
        </w:tc>
        <w:tc>
          <w:tcPr>
            <w:tcW w:w="429" w:type="dxa"/>
            <w:shd w:val="clear" w:color="auto" w:fill="CCFFFF"/>
            <w:textDirection w:val="btLr"/>
          </w:tcPr>
          <w:p w:rsidR="001772D5" w:rsidRPr="003204A8" w:rsidRDefault="001772D5" w:rsidP="00F069EE">
            <w:pPr>
              <w:ind w:left="113" w:right="113"/>
              <w:rPr>
                <w:b/>
                <w:sz w:val="18"/>
                <w:szCs w:val="18"/>
              </w:rPr>
            </w:pPr>
            <w:r w:rsidRPr="003204A8">
              <w:rPr>
                <w:b/>
                <w:sz w:val="18"/>
                <w:szCs w:val="18"/>
              </w:rPr>
              <w:t>Low income</w:t>
            </w:r>
          </w:p>
        </w:tc>
        <w:tc>
          <w:tcPr>
            <w:tcW w:w="5696" w:type="dxa"/>
            <w:shd w:val="clear" w:color="auto" w:fill="CCFFFF"/>
          </w:tcPr>
          <w:p w:rsidR="001772D5" w:rsidRPr="003204A8" w:rsidRDefault="001772D5" w:rsidP="0039693C">
            <w:pPr>
              <w:jc w:val="center"/>
              <w:rPr>
                <w:b/>
              </w:rPr>
            </w:pPr>
            <w:r w:rsidRPr="003204A8">
              <w:rPr>
                <w:b/>
              </w:rPr>
              <w:t>Justifications</w:t>
            </w:r>
          </w:p>
        </w:tc>
      </w:tr>
      <w:tr w:rsidR="001772D5" w:rsidTr="001772D5">
        <w:trPr>
          <w:cantSplit/>
          <w:trHeight w:val="2684"/>
        </w:trPr>
        <w:tc>
          <w:tcPr>
            <w:tcW w:w="1595" w:type="dxa"/>
            <w:shd w:val="clear" w:color="auto" w:fill="auto"/>
          </w:tcPr>
          <w:p w:rsidR="001772D5" w:rsidRDefault="001772D5" w:rsidP="0039693C">
            <w:pPr>
              <w:rPr>
                <w:b/>
              </w:rPr>
            </w:pPr>
            <w:r>
              <w:rPr>
                <w:b/>
              </w:rPr>
              <w:t>1: Housing</w:t>
            </w:r>
          </w:p>
        </w:tc>
        <w:tc>
          <w:tcPr>
            <w:tcW w:w="2369" w:type="dxa"/>
            <w:shd w:val="clear" w:color="auto" w:fill="auto"/>
          </w:tcPr>
          <w:p w:rsidR="001772D5" w:rsidRPr="00193821" w:rsidRDefault="001772D5" w:rsidP="0039693C">
            <w:r w:rsidRPr="00193821">
              <w:t>Sets out the housing needs of the Borough</w:t>
            </w:r>
            <w:r>
              <w:t xml:space="preserve"> and how these will be provided for</w:t>
            </w:r>
            <w:r w:rsidRPr="00193821">
              <w:t xml:space="preserve"> over the plan period</w:t>
            </w:r>
          </w:p>
        </w:tc>
        <w:tc>
          <w:tcPr>
            <w:tcW w:w="400" w:type="dxa"/>
            <w:shd w:val="clear" w:color="auto" w:fill="auto"/>
          </w:tcPr>
          <w:p w:rsidR="001772D5" w:rsidRDefault="001772D5" w:rsidP="0039693C">
            <w:r>
              <w:rPr>
                <w:sz w:val="18"/>
              </w:rPr>
              <w:t>+</w:t>
            </w:r>
          </w:p>
        </w:tc>
        <w:tc>
          <w:tcPr>
            <w:tcW w:w="432"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29" w:type="dxa"/>
            <w:shd w:val="clear" w:color="auto" w:fill="auto"/>
          </w:tcPr>
          <w:p w:rsidR="001772D5" w:rsidRDefault="001772D5" w:rsidP="0039693C">
            <w:r>
              <w:rPr>
                <w:sz w:val="18"/>
              </w:rPr>
              <w:t>0</w:t>
            </w:r>
          </w:p>
        </w:tc>
        <w:tc>
          <w:tcPr>
            <w:tcW w:w="429" w:type="dxa"/>
          </w:tcPr>
          <w:p w:rsidR="001772D5" w:rsidRDefault="001772D5" w:rsidP="0039693C">
            <w:r>
              <w:t>+</w:t>
            </w:r>
          </w:p>
        </w:tc>
        <w:tc>
          <w:tcPr>
            <w:tcW w:w="5696" w:type="dxa"/>
            <w:shd w:val="clear" w:color="auto" w:fill="auto"/>
          </w:tcPr>
          <w:p w:rsidR="001772D5" w:rsidRPr="00193821" w:rsidRDefault="001772D5" w:rsidP="0039693C">
            <w:r>
              <w:t xml:space="preserve">The provision of new homes is likely benefit those with disabilities due to building regulations for new build homes providing higher accessibility standards. </w:t>
            </w:r>
          </w:p>
        </w:tc>
      </w:tr>
      <w:tr w:rsidR="001772D5" w:rsidTr="001772D5">
        <w:trPr>
          <w:cantSplit/>
          <w:trHeight w:val="2684"/>
        </w:trPr>
        <w:tc>
          <w:tcPr>
            <w:tcW w:w="1595" w:type="dxa"/>
          </w:tcPr>
          <w:p w:rsidR="001772D5" w:rsidRDefault="001772D5" w:rsidP="000C1AF1">
            <w:pPr>
              <w:rPr>
                <w:b/>
              </w:rPr>
            </w:pPr>
            <w:r>
              <w:rPr>
                <w:b/>
              </w:rPr>
              <w:lastRenderedPageBreak/>
              <w:t>1.1: Strategic Housing Sites</w:t>
            </w:r>
          </w:p>
        </w:tc>
        <w:tc>
          <w:tcPr>
            <w:tcW w:w="2369" w:type="dxa"/>
          </w:tcPr>
          <w:p w:rsidR="001772D5" w:rsidRPr="00193821" w:rsidRDefault="001772D5" w:rsidP="000C1AF1">
            <w:r>
              <w:t>Sets out what is required from planning applications for strategic housing development</w:t>
            </w:r>
          </w:p>
        </w:tc>
        <w:tc>
          <w:tcPr>
            <w:tcW w:w="400" w:type="dxa"/>
            <w:shd w:val="clear" w:color="auto" w:fill="auto"/>
          </w:tcPr>
          <w:p w:rsidR="001772D5" w:rsidRPr="009C59CC" w:rsidRDefault="001772D5" w:rsidP="000C1AF1">
            <w:pPr>
              <w:pStyle w:val="NoSpacing"/>
            </w:pPr>
            <w:r>
              <w:t>0</w:t>
            </w:r>
          </w:p>
        </w:tc>
        <w:tc>
          <w:tcPr>
            <w:tcW w:w="432" w:type="dxa"/>
            <w:shd w:val="clear" w:color="auto" w:fill="auto"/>
          </w:tcPr>
          <w:p w:rsidR="001772D5" w:rsidRDefault="001772D5" w:rsidP="000C1AF1">
            <w:r>
              <w:rPr>
                <w:sz w:val="18"/>
              </w:rPr>
              <w:t>0</w:t>
            </w:r>
          </w:p>
        </w:tc>
        <w:tc>
          <w:tcPr>
            <w:tcW w:w="433" w:type="dxa"/>
            <w:shd w:val="clear" w:color="auto" w:fill="auto"/>
          </w:tcPr>
          <w:p w:rsidR="001772D5" w:rsidRDefault="001772D5" w:rsidP="000C1AF1">
            <w:r>
              <w:rPr>
                <w:sz w:val="18"/>
              </w:rPr>
              <w:t>0</w:t>
            </w:r>
          </w:p>
        </w:tc>
        <w:tc>
          <w:tcPr>
            <w:tcW w:w="433" w:type="dxa"/>
            <w:shd w:val="clear" w:color="auto" w:fill="auto"/>
          </w:tcPr>
          <w:p w:rsidR="001772D5" w:rsidRPr="00193821" w:rsidRDefault="001772D5" w:rsidP="000C1AF1">
            <w:pPr>
              <w:jc w:val="center"/>
              <w:rPr>
                <w:sz w:val="18"/>
              </w:rPr>
            </w:pPr>
            <w:r>
              <w:rPr>
                <w:sz w:val="18"/>
              </w:rPr>
              <w:t>+</w:t>
            </w:r>
          </w:p>
        </w:tc>
        <w:tc>
          <w:tcPr>
            <w:tcW w:w="433" w:type="dxa"/>
            <w:shd w:val="clear" w:color="auto" w:fill="auto"/>
          </w:tcPr>
          <w:p w:rsidR="001772D5" w:rsidRDefault="001772D5" w:rsidP="000C1AF1">
            <w:r>
              <w:rPr>
                <w:sz w:val="18"/>
              </w:rPr>
              <w:t>0</w:t>
            </w:r>
          </w:p>
        </w:tc>
        <w:tc>
          <w:tcPr>
            <w:tcW w:w="433" w:type="dxa"/>
            <w:shd w:val="clear" w:color="auto" w:fill="auto"/>
          </w:tcPr>
          <w:p w:rsidR="001772D5" w:rsidRDefault="001772D5" w:rsidP="000C1AF1">
            <w:r>
              <w:rPr>
                <w:sz w:val="18"/>
              </w:rPr>
              <w:t>0</w:t>
            </w:r>
          </w:p>
        </w:tc>
        <w:tc>
          <w:tcPr>
            <w:tcW w:w="433" w:type="dxa"/>
            <w:shd w:val="clear" w:color="auto" w:fill="auto"/>
          </w:tcPr>
          <w:p w:rsidR="001772D5" w:rsidRDefault="001772D5" w:rsidP="000C1AF1">
            <w:r>
              <w:rPr>
                <w:sz w:val="18"/>
              </w:rPr>
              <w:t>0</w:t>
            </w:r>
          </w:p>
        </w:tc>
        <w:tc>
          <w:tcPr>
            <w:tcW w:w="433" w:type="dxa"/>
            <w:shd w:val="clear" w:color="auto" w:fill="auto"/>
          </w:tcPr>
          <w:p w:rsidR="001772D5" w:rsidRDefault="001772D5" w:rsidP="000C1AF1">
            <w:r>
              <w:rPr>
                <w:sz w:val="18"/>
              </w:rPr>
              <w:t>0</w:t>
            </w:r>
          </w:p>
        </w:tc>
        <w:tc>
          <w:tcPr>
            <w:tcW w:w="429" w:type="dxa"/>
            <w:shd w:val="clear" w:color="auto" w:fill="auto"/>
          </w:tcPr>
          <w:p w:rsidR="001772D5" w:rsidRDefault="001772D5" w:rsidP="000C1AF1">
            <w:r>
              <w:rPr>
                <w:sz w:val="18"/>
              </w:rPr>
              <w:t>0</w:t>
            </w:r>
          </w:p>
        </w:tc>
        <w:tc>
          <w:tcPr>
            <w:tcW w:w="429" w:type="dxa"/>
          </w:tcPr>
          <w:p w:rsidR="001772D5" w:rsidRDefault="001772D5" w:rsidP="000C1AF1">
            <w:r>
              <w:t>0</w:t>
            </w:r>
          </w:p>
        </w:tc>
        <w:tc>
          <w:tcPr>
            <w:tcW w:w="5696" w:type="dxa"/>
          </w:tcPr>
          <w:p w:rsidR="001772D5" w:rsidRPr="00193821" w:rsidRDefault="001772D5" w:rsidP="000C1AF1">
            <w:r>
              <w:t>The policy specifies that streets shall prioritise walking, wheelchair use and cycling over motorised transport. This will lead to safer streets for wheelchair users.</w:t>
            </w:r>
          </w:p>
        </w:tc>
      </w:tr>
      <w:tr w:rsidR="001772D5" w:rsidTr="001772D5">
        <w:trPr>
          <w:cantSplit/>
          <w:trHeight w:val="2684"/>
        </w:trPr>
        <w:tc>
          <w:tcPr>
            <w:tcW w:w="1595" w:type="dxa"/>
          </w:tcPr>
          <w:p w:rsidR="001772D5" w:rsidRDefault="001772D5" w:rsidP="0039693C">
            <w:pPr>
              <w:rPr>
                <w:b/>
              </w:rPr>
            </w:pPr>
            <w:r>
              <w:rPr>
                <w:b/>
              </w:rPr>
              <w:t>1.2 South Stanton</w:t>
            </w:r>
          </w:p>
        </w:tc>
        <w:tc>
          <w:tcPr>
            <w:tcW w:w="2369" w:type="dxa"/>
          </w:tcPr>
          <w:p w:rsidR="001772D5" w:rsidRPr="00193821" w:rsidRDefault="001772D5" w:rsidP="0039693C">
            <w:pPr>
              <w:pStyle w:val="NoSpacing"/>
            </w:pPr>
            <w:r>
              <w:t xml:space="preserve">Sets out what development will provide at Stanton South </w:t>
            </w:r>
          </w:p>
        </w:tc>
        <w:tc>
          <w:tcPr>
            <w:tcW w:w="400" w:type="dxa"/>
            <w:shd w:val="clear" w:color="auto" w:fill="auto"/>
          </w:tcPr>
          <w:p w:rsidR="001772D5" w:rsidRPr="00193821" w:rsidRDefault="001772D5" w:rsidP="0039693C">
            <w:pPr>
              <w:rPr>
                <w:sz w:val="18"/>
              </w:rPr>
            </w:pPr>
            <w:r>
              <w:rPr>
                <w:sz w:val="18"/>
              </w:rPr>
              <w:t>+</w:t>
            </w:r>
          </w:p>
        </w:tc>
        <w:tc>
          <w:tcPr>
            <w:tcW w:w="432"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33" w:type="dxa"/>
            <w:shd w:val="clear" w:color="auto" w:fill="auto"/>
          </w:tcPr>
          <w:p w:rsidR="001772D5" w:rsidRPr="00193821" w:rsidRDefault="001772D5" w:rsidP="0039693C">
            <w:pPr>
              <w:rPr>
                <w:sz w:val="18"/>
              </w:rPr>
            </w:pPr>
            <w:r>
              <w:rPr>
                <w:sz w:val="18"/>
              </w:rPr>
              <w:t>+</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29" w:type="dxa"/>
            <w:shd w:val="clear" w:color="auto" w:fill="auto"/>
          </w:tcPr>
          <w:p w:rsidR="001772D5" w:rsidRPr="00193821" w:rsidRDefault="001772D5" w:rsidP="0039693C">
            <w:pPr>
              <w:rPr>
                <w:sz w:val="18"/>
              </w:rPr>
            </w:pPr>
            <w:r>
              <w:rPr>
                <w:sz w:val="18"/>
              </w:rPr>
              <w:t>0</w:t>
            </w:r>
          </w:p>
        </w:tc>
        <w:tc>
          <w:tcPr>
            <w:tcW w:w="429" w:type="dxa"/>
          </w:tcPr>
          <w:p w:rsidR="001772D5" w:rsidRDefault="001772D5" w:rsidP="0039693C">
            <w:r>
              <w:t>+</w:t>
            </w:r>
          </w:p>
        </w:tc>
        <w:tc>
          <w:tcPr>
            <w:tcW w:w="5696" w:type="dxa"/>
          </w:tcPr>
          <w:p w:rsidR="001772D5" w:rsidRDefault="001772D5" w:rsidP="0039693C">
            <w:r>
              <w:t>Policy 1.2 will lead to the provision of new homes. As part of this provision, 10% of all dwellings shall be affordable. In addition,</w:t>
            </w:r>
            <w:r w:rsidRPr="003C3964">
              <w:t xml:space="preserve"> a financial contribution towards off-site affordable housing in lieu of providing up to 20% of the homes as additional affordable housing, subject to viability</w:t>
            </w:r>
            <w:r>
              <w:t xml:space="preserve">) These provisions are likely to have a positive impact on residents on lower incomes. </w:t>
            </w:r>
            <w:r>
              <w:br/>
              <w:t xml:space="preserve">Due to building standards, new builds have to be built to standards suitable for people with disabilities, therefore the new housing stock will positively impact people with disabilities. </w:t>
            </w:r>
          </w:p>
          <w:p w:rsidR="001772D5" w:rsidRDefault="001772D5" w:rsidP="0039693C"/>
          <w:p w:rsidR="001772D5" w:rsidRPr="00193821" w:rsidRDefault="001772D5" w:rsidP="0039693C">
            <w:r>
              <w:t>The provision of</w:t>
            </w:r>
            <w:r w:rsidRPr="001E6049">
              <w:t xml:space="preserve"> bus services to the new development</w:t>
            </w:r>
            <w:r>
              <w:t xml:space="preserve"> will positively impact on those with currently less access to private vehicle use, including the young and elderly. </w:t>
            </w:r>
          </w:p>
        </w:tc>
      </w:tr>
      <w:tr w:rsidR="001772D5" w:rsidTr="001772D5">
        <w:trPr>
          <w:cantSplit/>
          <w:trHeight w:val="2684"/>
        </w:trPr>
        <w:tc>
          <w:tcPr>
            <w:tcW w:w="1595" w:type="dxa"/>
          </w:tcPr>
          <w:p w:rsidR="001772D5" w:rsidRDefault="001772D5" w:rsidP="0039693C">
            <w:pPr>
              <w:rPr>
                <w:b/>
              </w:rPr>
            </w:pPr>
            <w:r>
              <w:rPr>
                <w:b/>
              </w:rPr>
              <w:lastRenderedPageBreak/>
              <w:t>1.3: Acorn Way</w:t>
            </w:r>
          </w:p>
        </w:tc>
        <w:tc>
          <w:tcPr>
            <w:tcW w:w="2369" w:type="dxa"/>
          </w:tcPr>
          <w:p w:rsidR="001772D5" w:rsidRPr="00193821" w:rsidRDefault="001772D5" w:rsidP="0039693C">
            <w:r>
              <w:t>Sets out what development will provide at Acorn Way</w:t>
            </w:r>
          </w:p>
        </w:tc>
        <w:tc>
          <w:tcPr>
            <w:tcW w:w="400" w:type="dxa"/>
            <w:shd w:val="clear" w:color="auto" w:fill="auto"/>
          </w:tcPr>
          <w:p w:rsidR="001772D5" w:rsidRPr="00193821" w:rsidRDefault="001772D5" w:rsidP="0039693C">
            <w:pPr>
              <w:rPr>
                <w:sz w:val="18"/>
              </w:rPr>
            </w:pPr>
            <w:r>
              <w:rPr>
                <w:sz w:val="18"/>
              </w:rPr>
              <w:t>+</w:t>
            </w:r>
          </w:p>
        </w:tc>
        <w:tc>
          <w:tcPr>
            <w:tcW w:w="432" w:type="dxa"/>
            <w:shd w:val="clear" w:color="auto" w:fill="auto"/>
          </w:tcPr>
          <w:p w:rsidR="001772D5" w:rsidRPr="00193821" w:rsidRDefault="001772D5" w:rsidP="0039693C">
            <w:pPr>
              <w:rPr>
                <w:sz w:val="18"/>
              </w:rPr>
            </w:pPr>
            <w:r>
              <w:rPr>
                <w:sz w:val="18"/>
              </w:rPr>
              <w:t>0</w:t>
            </w:r>
          </w:p>
        </w:tc>
        <w:tc>
          <w:tcPr>
            <w:tcW w:w="433" w:type="dxa"/>
            <w:shd w:val="clear" w:color="auto" w:fill="auto"/>
          </w:tcPr>
          <w:p w:rsidR="001772D5" w:rsidRPr="00193821" w:rsidRDefault="001772D5" w:rsidP="0039693C">
            <w:pPr>
              <w:rPr>
                <w:sz w:val="18"/>
              </w:rPr>
            </w:pPr>
            <w:r>
              <w:rPr>
                <w:sz w:val="18"/>
              </w:rPr>
              <w:t>0</w:t>
            </w:r>
          </w:p>
        </w:tc>
        <w:tc>
          <w:tcPr>
            <w:tcW w:w="433" w:type="dxa"/>
            <w:shd w:val="clear" w:color="auto" w:fill="auto"/>
          </w:tcPr>
          <w:p w:rsidR="001772D5" w:rsidRPr="00193821" w:rsidRDefault="001772D5" w:rsidP="0039693C">
            <w:pPr>
              <w:rPr>
                <w:sz w:val="18"/>
              </w:rPr>
            </w:pPr>
            <w:r>
              <w:rPr>
                <w:sz w:val="18"/>
              </w:rPr>
              <w:t>+</w:t>
            </w:r>
          </w:p>
        </w:tc>
        <w:tc>
          <w:tcPr>
            <w:tcW w:w="433" w:type="dxa"/>
            <w:shd w:val="clear" w:color="auto" w:fill="auto"/>
          </w:tcPr>
          <w:p w:rsidR="001772D5" w:rsidRPr="00193821" w:rsidRDefault="001772D5" w:rsidP="0039693C">
            <w:pPr>
              <w:rPr>
                <w:sz w:val="18"/>
              </w:rPr>
            </w:pPr>
            <w:r>
              <w:rPr>
                <w:sz w:val="18"/>
              </w:rPr>
              <w:t>0</w:t>
            </w:r>
          </w:p>
        </w:tc>
        <w:tc>
          <w:tcPr>
            <w:tcW w:w="433" w:type="dxa"/>
            <w:shd w:val="clear" w:color="auto" w:fill="auto"/>
          </w:tcPr>
          <w:p w:rsidR="001772D5" w:rsidRPr="00193821" w:rsidRDefault="001772D5" w:rsidP="0039693C">
            <w:pPr>
              <w:rPr>
                <w:sz w:val="18"/>
              </w:rPr>
            </w:pPr>
            <w:r>
              <w:rPr>
                <w:sz w:val="18"/>
              </w:rPr>
              <w:t>0</w:t>
            </w:r>
          </w:p>
        </w:tc>
        <w:tc>
          <w:tcPr>
            <w:tcW w:w="433" w:type="dxa"/>
            <w:shd w:val="clear" w:color="auto" w:fill="auto"/>
          </w:tcPr>
          <w:p w:rsidR="001772D5" w:rsidRPr="00193821" w:rsidRDefault="001772D5" w:rsidP="0039693C">
            <w:pPr>
              <w:rPr>
                <w:sz w:val="18"/>
              </w:rPr>
            </w:pPr>
            <w:r>
              <w:rPr>
                <w:sz w:val="18"/>
              </w:rPr>
              <w:t>0</w:t>
            </w:r>
          </w:p>
        </w:tc>
        <w:tc>
          <w:tcPr>
            <w:tcW w:w="433" w:type="dxa"/>
            <w:shd w:val="clear" w:color="auto" w:fill="auto"/>
          </w:tcPr>
          <w:p w:rsidR="001772D5" w:rsidRPr="00193821" w:rsidRDefault="001772D5" w:rsidP="0039693C">
            <w:pPr>
              <w:rPr>
                <w:sz w:val="18"/>
              </w:rPr>
            </w:pPr>
            <w:r>
              <w:rPr>
                <w:sz w:val="18"/>
              </w:rPr>
              <w:t>0</w:t>
            </w:r>
          </w:p>
        </w:tc>
        <w:tc>
          <w:tcPr>
            <w:tcW w:w="429" w:type="dxa"/>
            <w:shd w:val="clear" w:color="auto" w:fill="auto"/>
          </w:tcPr>
          <w:p w:rsidR="001772D5" w:rsidRPr="00193821" w:rsidRDefault="001772D5" w:rsidP="0039693C">
            <w:pPr>
              <w:rPr>
                <w:sz w:val="18"/>
              </w:rPr>
            </w:pPr>
            <w:r>
              <w:rPr>
                <w:sz w:val="18"/>
              </w:rPr>
              <w:t>0</w:t>
            </w:r>
          </w:p>
        </w:tc>
        <w:tc>
          <w:tcPr>
            <w:tcW w:w="429" w:type="dxa"/>
          </w:tcPr>
          <w:p w:rsidR="001772D5" w:rsidRDefault="001772D5" w:rsidP="0039693C">
            <w:r>
              <w:t>+</w:t>
            </w:r>
          </w:p>
        </w:tc>
        <w:tc>
          <w:tcPr>
            <w:tcW w:w="5696" w:type="dxa"/>
          </w:tcPr>
          <w:p w:rsidR="001772D5" w:rsidRDefault="001772D5" w:rsidP="0039693C">
            <w:r>
              <w:t>Policy 1.3 will lead to the provision of new homes. As part of this provision, 10% of all dwellings shall be affordable. In addition,</w:t>
            </w:r>
            <w:r w:rsidRPr="003C3964">
              <w:t xml:space="preserve"> a financial contribution towards off-site affordable housing in lieu of providing up to 20% of the homes as additional affordable housing, subject to viability</w:t>
            </w:r>
            <w:r>
              <w:t xml:space="preserve">) These provisions are likely to have a positive impact on residents on lower incomes. </w:t>
            </w:r>
            <w:r>
              <w:br/>
              <w:t>Due to building standards, new builds have to be built to standards suitable for people with disabilities, therefore the new housing stock will positively impact people with disabilities.</w:t>
            </w:r>
          </w:p>
          <w:p w:rsidR="001772D5" w:rsidRDefault="001772D5" w:rsidP="0039693C"/>
          <w:p w:rsidR="001772D5" w:rsidRPr="00193821" w:rsidRDefault="001772D5" w:rsidP="0039693C">
            <w:r w:rsidRPr="001E6049">
              <w:t>The provision of bus services to the new development will positively impact on those with currently less access to private vehicle use, including the young and elderly.</w:t>
            </w:r>
          </w:p>
        </w:tc>
      </w:tr>
      <w:tr w:rsidR="001772D5" w:rsidTr="001772D5">
        <w:trPr>
          <w:cantSplit/>
          <w:trHeight w:val="2684"/>
        </w:trPr>
        <w:tc>
          <w:tcPr>
            <w:tcW w:w="1595" w:type="dxa"/>
            <w:shd w:val="clear" w:color="auto" w:fill="auto"/>
          </w:tcPr>
          <w:p w:rsidR="001772D5" w:rsidRDefault="001772D5" w:rsidP="0039693C">
            <w:pPr>
              <w:rPr>
                <w:b/>
              </w:rPr>
            </w:pPr>
            <w:r>
              <w:rPr>
                <w:b/>
              </w:rPr>
              <w:lastRenderedPageBreak/>
              <w:t>1.4: North of Spondon</w:t>
            </w:r>
          </w:p>
        </w:tc>
        <w:tc>
          <w:tcPr>
            <w:tcW w:w="2369" w:type="dxa"/>
          </w:tcPr>
          <w:p w:rsidR="001772D5" w:rsidRPr="00193821" w:rsidRDefault="001772D5" w:rsidP="0039693C">
            <w:r>
              <w:t>Sets out what development will provide at North of Spondon</w:t>
            </w:r>
          </w:p>
        </w:tc>
        <w:tc>
          <w:tcPr>
            <w:tcW w:w="400" w:type="dxa"/>
            <w:shd w:val="clear" w:color="auto" w:fill="auto"/>
          </w:tcPr>
          <w:p w:rsidR="001772D5" w:rsidRPr="00193821" w:rsidRDefault="001772D5" w:rsidP="0039693C">
            <w:pPr>
              <w:jc w:val="center"/>
              <w:rPr>
                <w:sz w:val="18"/>
              </w:rPr>
            </w:pPr>
            <w:r>
              <w:rPr>
                <w:sz w:val="18"/>
              </w:rPr>
              <w:t>+</w:t>
            </w:r>
          </w:p>
        </w:tc>
        <w:tc>
          <w:tcPr>
            <w:tcW w:w="432" w:type="dxa"/>
            <w:shd w:val="clear" w:color="auto" w:fill="auto"/>
          </w:tcPr>
          <w:p w:rsidR="001772D5" w:rsidRPr="00193821" w:rsidRDefault="001772D5" w:rsidP="0039693C">
            <w:pPr>
              <w:jc w:val="center"/>
              <w:rPr>
                <w:sz w:val="18"/>
              </w:rPr>
            </w:pPr>
            <w:r>
              <w:rPr>
                <w:sz w:val="18"/>
              </w:rPr>
              <w:t>0</w:t>
            </w:r>
          </w:p>
        </w:tc>
        <w:tc>
          <w:tcPr>
            <w:tcW w:w="433" w:type="dxa"/>
            <w:shd w:val="clear" w:color="auto" w:fill="auto"/>
          </w:tcPr>
          <w:p w:rsidR="001772D5" w:rsidRPr="00193821" w:rsidRDefault="001772D5" w:rsidP="0039693C">
            <w:pPr>
              <w:jc w:val="center"/>
              <w:rPr>
                <w:sz w:val="18"/>
              </w:rPr>
            </w:pPr>
            <w:r>
              <w:rPr>
                <w:sz w:val="18"/>
              </w:rPr>
              <w:t>0</w:t>
            </w:r>
          </w:p>
        </w:tc>
        <w:tc>
          <w:tcPr>
            <w:tcW w:w="433" w:type="dxa"/>
            <w:shd w:val="clear" w:color="auto" w:fill="auto"/>
          </w:tcPr>
          <w:p w:rsidR="001772D5" w:rsidRPr="00193821" w:rsidRDefault="001772D5" w:rsidP="0039693C">
            <w:pPr>
              <w:jc w:val="center"/>
              <w:rPr>
                <w:sz w:val="18"/>
              </w:rPr>
            </w:pPr>
            <w:r>
              <w:rPr>
                <w:sz w:val="18"/>
              </w:rPr>
              <w:t>+</w:t>
            </w:r>
          </w:p>
        </w:tc>
        <w:tc>
          <w:tcPr>
            <w:tcW w:w="433" w:type="dxa"/>
            <w:shd w:val="clear" w:color="auto" w:fill="auto"/>
          </w:tcPr>
          <w:p w:rsidR="001772D5" w:rsidRPr="00193821" w:rsidRDefault="001772D5" w:rsidP="0039693C">
            <w:pPr>
              <w:jc w:val="center"/>
              <w:rPr>
                <w:sz w:val="18"/>
              </w:rPr>
            </w:pPr>
            <w:r>
              <w:rPr>
                <w:sz w:val="18"/>
              </w:rPr>
              <w:t>0</w:t>
            </w:r>
          </w:p>
        </w:tc>
        <w:tc>
          <w:tcPr>
            <w:tcW w:w="433" w:type="dxa"/>
            <w:shd w:val="clear" w:color="auto" w:fill="auto"/>
          </w:tcPr>
          <w:p w:rsidR="001772D5" w:rsidRPr="00193821" w:rsidRDefault="001772D5" w:rsidP="0039693C">
            <w:pPr>
              <w:jc w:val="center"/>
              <w:rPr>
                <w:sz w:val="18"/>
              </w:rPr>
            </w:pPr>
            <w:r>
              <w:rPr>
                <w:sz w:val="18"/>
              </w:rPr>
              <w:t>0</w:t>
            </w:r>
          </w:p>
        </w:tc>
        <w:tc>
          <w:tcPr>
            <w:tcW w:w="433" w:type="dxa"/>
            <w:shd w:val="clear" w:color="auto" w:fill="auto"/>
          </w:tcPr>
          <w:p w:rsidR="001772D5" w:rsidRPr="00193821" w:rsidRDefault="001772D5" w:rsidP="0039693C">
            <w:pPr>
              <w:jc w:val="center"/>
              <w:rPr>
                <w:sz w:val="18"/>
              </w:rPr>
            </w:pPr>
            <w:r>
              <w:rPr>
                <w:sz w:val="18"/>
              </w:rPr>
              <w:t>0</w:t>
            </w:r>
          </w:p>
        </w:tc>
        <w:tc>
          <w:tcPr>
            <w:tcW w:w="433" w:type="dxa"/>
            <w:shd w:val="clear" w:color="auto" w:fill="auto"/>
          </w:tcPr>
          <w:p w:rsidR="001772D5" w:rsidRPr="00193821" w:rsidRDefault="001772D5" w:rsidP="0039693C">
            <w:pPr>
              <w:jc w:val="center"/>
              <w:rPr>
                <w:sz w:val="18"/>
              </w:rPr>
            </w:pPr>
            <w:r>
              <w:rPr>
                <w:sz w:val="18"/>
              </w:rPr>
              <w:t>0</w:t>
            </w:r>
          </w:p>
        </w:tc>
        <w:tc>
          <w:tcPr>
            <w:tcW w:w="429" w:type="dxa"/>
            <w:shd w:val="clear" w:color="auto" w:fill="auto"/>
          </w:tcPr>
          <w:p w:rsidR="001772D5" w:rsidRPr="00193821" w:rsidRDefault="001772D5" w:rsidP="0039693C">
            <w:pPr>
              <w:jc w:val="center"/>
              <w:rPr>
                <w:sz w:val="18"/>
              </w:rPr>
            </w:pPr>
            <w:r>
              <w:rPr>
                <w:sz w:val="18"/>
              </w:rPr>
              <w:t>0</w:t>
            </w:r>
          </w:p>
        </w:tc>
        <w:tc>
          <w:tcPr>
            <w:tcW w:w="429" w:type="dxa"/>
          </w:tcPr>
          <w:p w:rsidR="001772D5" w:rsidRDefault="001772D5" w:rsidP="0039693C">
            <w:r>
              <w:t>+</w:t>
            </w:r>
          </w:p>
        </w:tc>
        <w:tc>
          <w:tcPr>
            <w:tcW w:w="5696" w:type="dxa"/>
            <w:shd w:val="clear" w:color="auto" w:fill="auto"/>
          </w:tcPr>
          <w:p w:rsidR="001772D5" w:rsidRDefault="001772D5" w:rsidP="0039693C">
            <w:r>
              <w:t>Policy 1.4 will lead to the provision of new homes. As part of this provision, 10% of all dwellings shall be affordable. In addition,</w:t>
            </w:r>
            <w:r w:rsidRPr="003C3964">
              <w:t xml:space="preserve"> a financial contribution towards off-site affordable housing in lieu of providing up to 20% of the homes as additional affordable housing, subject to viability</w:t>
            </w:r>
            <w:r>
              <w:t>) These provisions are likely to have a positive impact on residents on lower incomes.</w:t>
            </w:r>
            <w:r>
              <w:br/>
              <w:t>Due to building standards, new builds have to be built to standards suitable for people with disabilities, therefore the new housing stock will positively impact people with disabilities.</w:t>
            </w:r>
          </w:p>
          <w:p w:rsidR="001772D5" w:rsidRDefault="001772D5" w:rsidP="0039693C"/>
          <w:p w:rsidR="001772D5" w:rsidRPr="00193821" w:rsidRDefault="001772D5" w:rsidP="0039693C">
            <w:r w:rsidRPr="001E6049">
              <w:t>The provision of bus services to the new development will positively impact on those with currently less access to private vehicle use, including the young and elderly.</w:t>
            </w:r>
          </w:p>
        </w:tc>
      </w:tr>
      <w:tr w:rsidR="001772D5" w:rsidTr="001772D5">
        <w:trPr>
          <w:cantSplit/>
          <w:trHeight w:val="2684"/>
        </w:trPr>
        <w:tc>
          <w:tcPr>
            <w:tcW w:w="1595" w:type="dxa"/>
            <w:shd w:val="clear" w:color="auto" w:fill="auto"/>
          </w:tcPr>
          <w:p w:rsidR="001772D5" w:rsidRDefault="001772D5" w:rsidP="0039693C">
            <w:pPr>
              <w:rPr>
                <w:b/>
              </w:rPr>
            </w:pPr>
            <w:r>
              <w:rPr>
                <w:b/>
              </w:rPr>
              <w:lastRenderedPageBreak/>
              <w:t>1.5: South West of Kirk Hallam</w:t>
            </w:r>
          </w:p>
        </w:tc>
        <w:tc>
          <w:tcPr>
            <w:tcW w:w="2369" w:type="dxa"/>
          </w:tcPr>
          <w:p w:rsidR="001772D5" w:rsidRPr="00193821" w:rsidRDefault="001772D5" w:rsidP="0039693C">
            <w:r>
              <w:t>Sets out what development will provide at South West of Kirk Hallam</w:t>
            </w:r>
          </w:p>
        </w:tc>
        <w:tc>
          <w:tcPr>
            <w:tcW w:w="400" w:type="dxa"/>
            <w:shd w:val="clear" w:color="auto" w:fill="auto"/>
          </w:tcPr>
          <w:p w:rsidR="001772D5" w:rsidRPr="00193821" w:rsidRDefault="001772D5" w:rsidP="0039693C">
            <w:pPr>
              <w:jc w:val="center"/>
              <w:rPr>
                <w:sz w:val="18"/>
              </w:rPr>
            </w:pPr>
            <w:r>
              <w:rPr>
                <w:sz w:val="18"/>
              </w:rPr>
              <w:t>+</w:t>
            </w:r>
          </w:p>
        </w:tc>
        <w:tc>
          <w:tcPr>
            <w:tcW w:w="432" w:type="dxa"/>
            <w:shd w:val="clear" w:color="auto" w:fill="auto"/>
          </w:tcPr>
          <w:p w:rsidR="001772D5" w:rsidRPr="00193821" w:rsidRDefault="001772D5" w:rsidP="0039693C">
            <w:pPr>
              <w:jc w:val="center"/>
              <w:rPr>
                <w:sz w:val="18"/>
              </w:rPr>
            </w:pPr>
            <w:r>
              <w:rPr>
                <w:sz w:val="18"/>
              </w:rPr>
              <w:t>0</w:t>
            </w:r>
          </w:p>
        </w:tc>
        <w:tc>
          <w:tcPr>
            <w:tcW w:w="433" w:type="dxa"/>
            <w:shd w:val="clear" w:color="auto" w:fill="auto"/>
          </w:tcPr>
          <w:p w:rsidR="001772D5" w:rsidRPr="00193821" w:rsidRDefault="001772D5" w:rsidP="0039693C">
            <w:pPr>
              <w:jc w:val="center"/>
              <w:rPr>
                <w:sz w:val="18"/>
              </w:rPr>
            </w:pPr>
            <w:r>
              <w:rPr>
                <w:sz w:val="18"/>
              </w:rPr>
              <w:t>0</w:t>
            </w:r>
          </w:p>
        </w:tc>
        <w:tc>
          <w:tcPr>
            <w:tcW w:w="433" w:type="dxa"/>
            <w:shd w:val="clear" w:color="auto" w:fill="auto"/>
          </w:tcPr>
          <w:p w:rsidR="001772D5" w:rsidRPr="00193821" w:rsidRDefault="001772D5" w:rsidP="0039693C">
            <w:pPr>
              <w:jc w:val="center"/>
              <w:rPr>
                <w:sz w:val="18"/>
              </w:rPr>
            </w:pPr>
            <w:r>
              <w:rPr>
                <w:sz w:val="18"/>
              </w:rPr>
              <w:t>+</w:t>
            </w:r>
          </w:p>
        </w:tc>
        <w:tc>
          <w:tcPr>
            <w:tcW w:w="433" w:type="dxa"/>
            <w:shd w:val="clear" w:color="auto" w:fill="auto"/>
          </w:tcPr>
          <w:p w:rsidR="001772D5" w:rsidRPr="00193821" w:rsidRDefault="001772D5" w:rsidP="0039693C">
            <w:pPr>
              <w:jc w:val="center"/>
              <w:rPr>
                <w:sz w:val="18"/>
              </w:rPr>
            </w:pPr>
            <w:r>
              <w:rPr>
                <w:sz w:val="18"/>
              </w:rPr>
              <w:t>0</w:t>
            </w:r>
          </w:p>
        </w:tc>
        <w:tc>
          <w:tcPr>
            <w:tcW w:w="433" w:type="dxa"/>
            <w:shd w:val="clear" w:color="auto" w:fill="auto"/>
          </w:tcPr>
          <w:p w:rsidR="001772D5" w:rsidRPr="00193821" w:rsidRDefault="001772D5" w:rsidP="0039693C">
            <w:pPr>
              <w:jc w:val="center"/>
              <w:rPr>
                <w:sz w:val="18"/>
              </w:rPr>
            </w:pPr>
            <w:r>
              <w:rPr>
                <w:sz w:val="18"/>
              </w:rPr>
              <w:t>0</w:t>
            </w:r>
          </w:p>
        </w:tc>
        <w:tc>
          <w:tcPr>
            <w:tcW w:w="433" w:type="dxa"/>
            <w:shd w:val="clear" w:color="auto" w:fill="auto"/>
          </w:tcPr>
          <w:p w:rsidR="001772D5" w:rsidRPr="00193821" w:rsidRDefault="001772D5" w:rsidP="0039693C">
            <w:pPr>
              <w:jc w:val="center"/>
              <w:rPr>
                <w:sz w:val="18"/>
              </w:rPr>
            </w:pPr>
            <w:r>
              <w:rPr>
                <w:sz w:val="18"/>
              </w:rPr>
              <w:t>0</w:t>
            </w:r>
          </w:p>
        </w:tc>
        <w:tc>
          <w:tcPr>
            <w:tcW w:w="433" w:type="dxa"/>
            <w:shd w:val="clear" w:color="auto" w:fill="auto"/>
          </w:tcPr>
          <w:p w:rsidR="001772D5" w:rsidRPr="00193821" w:rsidRDefault="001772D5" w:rsidP="0039693C">
            <w:pPr>
              <w:jc w:val="center"/>
              <w:rPr>
                <w:sz w:val="18"/>
              </w:rPr>
            </w:pPr>
            <w:r>
              <w:rPr>
                <w:sz w:val="18"/>
              </w:rPr>
              <w:t>0</w:t>
            </w:r>
          </w:p>
        </w:tc>
        <w:tc>
          <w:tcPr>
            <w:tcW w:w="429" w:type="dxa"/>
            <w:shd w:val="clear" w:color="auto" w:fill="auto"/>
          </w:tcPr>
          <w:p w:rsidR="001772D5" w:rsidRPr="00193821" w:rsidRDefault="001772D5" w:rsidP="0039693C">
            <w:pPr>
              <w:jc w:val="center"/>
              <w:rPr>
                <w:sz w:val="18"/>
              </w:rPr>
            </w:pPr>
            <w:r>
              <w:rPr>
                <w:sz w:val="18"/>
              </w:rPr>
              <w:t>0</w:t>
            </w:r>
          </w:p>
        </w:tc>
        <w:tc>
          <w:tcPr>
            <w:tcW w:w="429" w:type="dxa"/>
          </w:tcPr>
          <w:p w:rsidR="001772D5" w:rsidRDefault="001772D5" w:rsidP="0039693C">
            <w:r>
              <w:t>+</w:t>
            </w:r>
          </w:p>
        </w:tc>
        <w:tc>
          <w:tcPr>
            <w:tcW w:w="5696" w:type="dxa"/>
            <w:shd w:val="clear" w:color="auto" w:fill="auto"/>
          </w:tcPr>
          <w:p w:rsidR="001772D5" w:rsidRDefault="001772D5" w:rsidP="0039693C">
            <w:r>
              <w:t>Policy 1.5 will lead to the provision of new homes. As part of this provision, 10% of all dwellings shall be affordable. In addition,</w:t>
            </w:r>
            <w:r w:rsidRPr="003C3964">
              <w:t xml:space="preserve"> a financial contribution towards off-site affordable housing in lieu of providing up to 20% of the homes as additional affordable housing, subject to viability</w:t>
            </w:r>
            <w:r>
              <w:t xml:space="preserve">) These provisions are likely to have a positive impact on residents on lower incomes. </w:t>
            </w:r>
            <w:r>
              <w:br/>
              <w:t>Due to building standards, new builds have to be built to standards suitable for people with disabilities, therefore the new housing stock will positively impact people with disabilities.</w:t>
            </w:r>
          </w:p>
          <w:p w:rsidR="001772D5" w:rsidRDefault="001772D5" w:rsidP="0039693C"/>
          <w:p w:rsidR="001772D5" w:rsidRPr="00193821" w:rsidRDefault="001772D5" w:rsidP="0039693C">
            <w:r w:rsidRPr="001E6049">
              <w:t>The provision of bus services to the new development will positively impact on those with currently less access to private vehicle use, including the young and elderly.</w:t>
            </w:r>
          </w:p>
        </w:tc>
      </w:tr>
      <w:tr w:rsidR="001772D5" w:rsidTr="001772D5">
        <w:trPr>
          <w:cantSplit/>
          <w:trHeight w:val="3246"/>
        </w:trPr>
        <w:tc>
          <w:tcPr>
            <w:tcW w:w="1595" w:type="dxa"/>
            <w:shd w:val="clear" w:color="auto" w:fill="auto"/>
          </w:tcPr>
          <w:p w:rsidR="001772D5" w:rsidRDefault="001772D5" w:rsidP="0039693C">
            <w:pPr>
              <w:rPr>
                <w:b/>
              </w:rPr>
            </w:pPr>
            <w:r>
              <w:rPr>
                <w:b/>
              </w:rPr>
              <w:lastRenderedPageBreak/>
              <w:t>1.6: North of Cotmanhay</w:t>
            </w:r>
          </w:p>
        </w:tc>
        <w:tc>
          <w:tcPr>
            <w:tcW w:w="2369" w:type="dxa"/>
          </w:tcPr>
          <w:p w:rsidR="001772D5" w:rsidRPr="00193821" w:rsidRDefault="001772D5" w:rsidP="0039693C">
            <w:r>
              <w:t>Sets out what development will provide at North of Cotmanhay</w:t>
            </w:r>
          </w:p>
        </w:tc>
        <w:tc>
          <w:tcPr>
            <w:tcW w:w="400" w:type="dxa"/>
            <w:shd w:val="clear" w:color="auto" w:fill="auto"/>
          </w:tcPr>
          <w:p w:rsidR="001772D5" w:rsidRPr="00193821" w:rsidRDefault="001772D5" w:rsidP="0039693C">
            <w:pPr>
              <w:jc w:val="center"/>
              <w:rPr>
                <w:sz w:val="18"/>
              </w:rPr>
            </w:pPr>
            <w:r>
              <w:rPr>
                <w:sz w:val="18"/>
              </w:rPr>
              <w:t>+</w:t>
            </w:r>
          </w:p>
        </w:tc>
        <w:tc>
          <w:tcPr>
            <w:tcW w:w="432" w:type="dxa"/>
            <w:shd w:val="clear" w:color="auto" w:fill="auto"/>
          </w:tcPr>
          <w:p w:rsidR="001772D5" w:rsidRPr="00193821" w:rsidRDefault="001772D5" w:rsidP="0039693C">
            <w:pPr>
              <w:jc w:val="center"/>
              <w:rPr>
                <w:sz w:val="18"/>
              </w:rPr>
            </w:pPr>
            <w:r>
              <w:rPr>
                <w:sz w:val="18"/>
              </w:rPr>
              <w:t>0</w:t>
            </w:r>
          </w:p>
        </w:tc>
        <w:tc>
          <w:tcPr>
            <w:tcW w:w="433" w:type="dxa"/>
            <w:shd w:val="clear" w:color="auto" w:fill="auto"/>
          </w:tcPr>
          <w:p w:rsidR="001772D5" w:rsidRPr="00193821" w:rsidRDefault="001772D5" w:rsidP="0039693C">
            <w:pPr>
              <w:jc w:val="center"/>
              <w:rPr>
                <w:sz w:val="18"/>
              </w:rPr>
            </w:pPr>
            <w:r>
              <w:rPr>
                <w:sz w:val="18"/>
              </w:rPr>
              <w:t>0</w:t>
            </w:r>
          </w:p>
        </w:tc>
        <w:tc>
          <w:tcPr>
            <w:tcW w:w="433" w:type="dxa"/>
            <w:shd w:val="clear" w:color="auto" w:fill="auto"/>
          </w:tcPr>
          <w:p w:rsidR="001772D5" w:rsidRPr="00193821" w:rsidRDefault="001772D5" w:rsidP="0039693C">
            <w:pPr>
              <w:jc w:val="center"/>
              <w:rPr>
                <w:sz w:val="18"/>
              </w:rPr>
            </w:pPr>
            <w:r>
              <w:rPr>
                <w:sz w:val="18"/>
              </w:rPr>
              <w:t>+</w:t>
            </w:r>
          </w:p>
        </w:tc>
        <w:tc>
          <w:tcPr>
            <w:tcW w:w="433" w:type="dxa"/>
            <w:shd w:val="clear" w:color="auto" w:fill="auto"/>
          </w:tcPr>
          <w:p w:rsidR="001772D5" w:rsidRPr="00193821" w:rsidRDefault="001772D5" w:rsidP="0039693C">
            <w:pPr>
              <w:jc w:val="center"/>
              <w:rPr>
                <w:sz w:val="18"/>
              </w:rPr>
            </w:pPr>
            <w:r>
              <w:rPr>
                <w:sz w:val="18"/>
              </w:rPr>
              <w:t>0</w:t>
            </w:r>
          </w:p>
        </w:tc>
        <w:tc>
          <w:tcPr>
            <w:tcW w:w="433" w:type="dxa"/>
            <w:shd w:val="clear" w:color="auto" w:fill="auto"/>
          </w:tcPr>
          <w:p w:rsidR="001772D5" w:rsidRPr="00193821" w:rsidRDefault="001772D5" w:rsidP="0039693C">
            <w:pPr>
              <w:jc w:val="center"/>
              <w:rPr>
                <w:sz w:val="18"/>
              </w:rPr>
            </w:pPr>
            <w:r>
              <w:rPr>
                <w:sz w:val="18"/>
              </w:rPr>
              <w:t>0</w:t>
            </w:r>
          </w:p>
        </w:tc>
        <w:tc>
          <w:tcPr>
            <w:tcW w:w="433" w:type="dxa"/>
            <w:shd w:val="clear" w:color="auto" w:fill="auto"/>
          </w:tcPr>
          <w:p w:rsidR="001772D5" w:rsidRPr="00193821" w:rsidRDefault="001772D5" w:rsidP="0039693C">
            <w:pPr>
              <w:jc w:val="center"/>
              <w:rPr>
                <w:sz w:val="18"/>
              </w:rPr>
            </w:pPr>
            <w:r>
              <w:rPr>
                <w:sz w:val="18"/>
              </w:rPr>
              <w:t>0</w:t>
            </w:r>
          </w:p>
        </w:tc>
        <w:tc>
          <w:tcPr>
            <w:tcW w:w="433" w:type="dxa"/>
            <w:shd w:val="clear" w:color="auto" w:fill="auto"/>
          </w:tcPr>
          <w:p w:rsidR="001772D5" w:rsidRPr="00193821" w:rsidRDefault="001772D5" w:rsidP="0039693C">
            <w:pPr>
              <w:jc w:val="center"/>
              <w:rPr>
                <w:sz w:val="18"/>
              </w:rPr>
            </w:pPr>
            <w:r>
              <w:rPr>
                <w:sz w:val="18"/>
              </w:rPr>
              <w:t>0</w:t>
            </w:r>
          </w:p>
        </w:tc>
        <w:tc>
          <w:tcPr>
            <w:tcW w:w="429" w:type="dxa"/>
            <w:shd w:val="clear" w:color="auto" w:fill="auto"/>
          </w:tcPr>
          <w:p w:rsidR="001772D5" w:rsidRPr="00193821" w:rsidRDefault="001772D5" w:rsidP="0039693C">
            <w:pPr>
              <w:jc w:val="center"/>
              <w:rPr>
                <w:sz w:val="18"/>
              </w:rPr>
            </w:pPr>
            <w:r>
              <w:rPr>
                <w:sz w:val="18"/>
              </w:rPr>
              <w:t>0</w:t>
            </w:r>
          </w:p>
        </w:tc>
        <w:tc>
          <w:tcPr>
            <w:tcW w:w="429" w:type="dxa"/>
          </w:tcPr>
          <w:p w:rsidR="001772D5" w:rsidRDefault="001772D5" w:rsidP="0039693C">
            <w:r>
              <w:t>+</w:t>
            </w:r>
          </w:p>
        </w:tc>
        <w:tc>
          <w:tcPr>
            <w:tcW w:w="5696" w:type="dxa"/>
            <w:shd w:val="clear" w:color="auto" w:fill="auto"/>
          </w:tcPr>
          <w:p w:rsidR="001772D5" w:rsidRDefault="001772D5" w:rsidP="0039693C">
            <w:r>
              <w:t>Policy 1.6 will lead to the provision of new homes. As part of this provision, 10% of all dwellings shall be affordable. In addition,</w:t>
            </w:r>
            <w:r w:rsidRPr="003C3964">
              <w:t xml:space="preserve"> a financial contribution towards off-site affordable housing in lieu of providing up to 20% of the homes as additional affordable housing, subject to viability</w:t>
            </w:r>
            <w:r>
              <w:t>) These provisions are likely to have a positive impact on residents on lower incomes</w:t>
            </w:r>
            <w:r>
              <w:br/>
              <w:t>Due to building standards, new builds have to be built to standards suitable for people with disabilities, therefore the new housing stock will positively impact people with disabilities.</w:t>
            </w:r>
          </w:p>
          <w:p w:rsidR="001772D5" w:rsidRDefault="001772D5" w:rsidP="0039693C"/>
          <w:p w:rsidR="001772D5" w:rsidRPr="00193821" w:rsidRDefault="001772D5" w:rsidP="0039693C">
            <w:r w:rsidRPr="001E6049">
              <w:t>The provision of bus services to the new development will positively impact on those with currently less access to private vehicle use, including the young and elderly.</w:t>
            </w:r>
          </w:p>
        </w:tc>
      </w:tr>
      <w:tr w:rsidR="001772D5" w:rsidTr="001772D5">
        <w:trPr>
          <w:cantSplit/>
          <w:trHeight w:val="3246"/>
        </w:trPr>
        <w:tc>
          <w:tcPr>
            <w:tcW w:w="1595" w:type="dxa"/>
            <w:shd w:val="clear" w:color="auto" w:fill="auto"/>
          </w:tcPr>
          <w:p w:rsidR="001772D5" w:rsidRDefault="001772D5" w:rsidP="0039693C">
            <w:pPr>
              <w:rPr>
                <w:b/>
              </w:rPr>
            </w:pPr>
            <w:r>
              <w:rPr>
                <w:b/>
              </w:rPr>
              <w:lastRenderedPageBreak/>
              <w:t xml:space="preserve"> 2:Employment</w:t>
            </w:r>
          </w:p>
        </w:tc>
        <w:tc>
          <w:tcPr>
            <w:tcW w:w="2369" w:type="dxa"/>
          </w:tcPr>
          <w:p w:rsidR="001772D5" w:rsidRDefault="001772D5" w:rsidP="0039693C">
            <w:r>
              <w:t>Sets out how the economy of Erewash will be maintained, strengthened and diversified over the plan period through the allocation protection and enhancement of employment land</w:t>
            </w:r>
          </w:p>
        </w:tc>
        <w:tc>
          <w:tcPr>
            <w:tcW w:w="400" w:type="dxa"/>
            <w:shd w:val="clear" w:color="auto" w:fill="auto"/>
          </w:tcPr>
          <w:p w:rsidR="001772D5" w:rsidRPr="00193821" w:rsidRDefault="001772D5" w:rsidP="0039693C">
            <w:pPr>
              <w:rPr>
                <w:sz w:val="18"/>
              </w:rPr>
            </w:pPr>
            <w:r>
              <w:rPr>
                <w:sz w:val="18"/>
              </w:rPr>
              <w:t>+</w:t>
            </w:r>
          </w:p>
        </w:tc>
        <w:tc>
          <w:tcPr>
            <w:tcW w:w="432" w:type="dxa"/>
            <w:shd w:val="clear" w:color="auto" w:fill="auto"/>
          </w:tcPr>
          <w:p w:rsidR="001772D5" w:rsidRDefault="001772D5" w:rsidP="0039693C">
            <w:r w:rsidRPr="005C46BB">
              <w:rPr>
                <w:sz w:val="18"/>
              </w:rPr>
              <w:t>+</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sidRPr="005C46BB">
              <w:rPr>
                <w:sz w:val="18"/>
              </w:rPr>
              <w:t>+</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29" w:type="dxa"/>
            <w:shd w:val="clear" w:color="auto" w:fill="auto"/>
          </w:tcPr>
          <w:p w:rsidR="001772D5" w:rsidRDefault="001772D5" w:rsidP="0039693C">
            <w:r>
              <w:rPr>
                <w:sz w:val="18"/>
              </w:rPr>
              <w:t>0</w:t>
            </w:r>
          </w:p>
        </w:tc>
        <w:tc>
          <w:tcPr>
            <w:tcW w:w="429" w:type="dxa"/>
          </w:tcPr>
          <w:p w:rsidR="001772D5" w:rsidRDefault="001772D5" w:rsidP="0039693C">
            <w:r>
              <w:t>+</w:t>
            </w:r>
          </w:p>
        </w:tc>
        <w:tc>
          <w:tcPr>
            <w:tcW w:w="5696" w:type="dxa"/>
            <w:shd w:val="clear" w:color="auto" w:fill="auto"/>
          </w:tcPr>
          <w:p w:rsidR="001772D5" w:rsidRDefault="001772D5" w:rsidP="0039693C">
            <w:r>
              <w:t>The policy safeguards and adds significantly to current employment land across the Borough, including the provision of at least 40Ha of new employment land. The associated job creation has socio economic benefits for those on lower incomes. In particular this has the potential to positively impact on young people aged 18-21 who have higher levels of unemployment than other age groups. Likewise it may provide opportunities for women, who are currently less economically active then men.</w:t>
            </w:r>
          </w:p>
          <w:p w:rsidR="001772D5" w:rsidRPr="00193821" w:rsidRDefault="001772D5" w:rsidP="0039693C">
            <w:r>
              <w:t>New</w:t>
            </w:r>
            <w:r w:rsidRPr="006A1DEC">
              <w:t xml:space="preserve"> industrial premises will improve access for disabled due to building control requirements on new build.</w:t>
            </w:r>
          </w:p>
        </w:tc>
      </w:tr>
      <w:tr w:rsidR="001772D5" w:rsidTr="001772D5">
        <w:trPr>
          <w:cantSplit/>
          <w:trHeight w:val="3246"/>
        </w:trPr>
        <w:tc>
          <w:tcPr>
            <w:tcW w:w="1595" w:type="dxa"/>
            <w:shd w:val="clear" w:color="auto" w:fill="auto"/>
          </w:tcPr>
          <w:p w:rsidR="001772D5" w:rsidRDefault="001772D5" w:rsidP="0039693C">
            <w:pPr>
              <w:rPr>
                <w:b/>
              </w:rPr>
            </w:pPr>
            <w:r>
              <w:rPr>
                <w:b/>
              </w:rPr>
              <w:lastRenderedPageBreak/>
              <w:t>2.1: Stanton North</w:t>
            </w:r>
          </w:p>
        </w:tc>
        <w:tc>
          <w:tcPr>
            <w:tcW w:w="2369" w:type="dxa"/>
          </w:tcPr>
          <w:p w:rsidR="001772D5" w:rsidRPr="00193821" w:rsidRDefault="001772D5" w:rsidP="0039693C">
            <w:r>
              <w:t xml:space="preserve">Outlines what shall be included in the Stanton North development including </w:t>
            </w:r>
            <w:r w:rsidRPr="003204A8">
              <w:t>strategic employment development across 80 hectares of land</w:t>
            </w:r>
          </w:p>
        </w:tc>
        <w:tc>
          <w:tcPr>
            <w:tcW w:w="400" w:type="dxa"/>
            <w:shd w:val="clear" w:color="auto" w:fill="auto"/>
          </w:tcPr>
          <w:p w:rsidR="001772D5" w:rsidRPr="00193821" w:rsidRDefault="001772D5" w:rsidP="0039693C">
            <w:pPr>
              <w:rPr>
                <w:sz w:val="18"/>
              </w:rPr>
            </w:pPr>
            <w:r>
              <w:rPr>
                <w:sz w:val="18"/>
              </w:rPr>
              <w:t>+</w:t>
            </w:r>
          </w:p>
        </w:tc>
        <w:tc>
          <w:tcPr>
            <w:tcW w:w="432" w:type="dxa"/>
            <w:shd w:val="clear" w:color="auto" w:fill="auto"/>
          </w:tcPr>
          <w:p w:rsidR="001772D5" w:rsidRDefault="001772D5" w:rsidP="0039693C">
            <w:r w:rsidRPr="008E09C4">
              <w:rPr>
                <w:sz w:val="18"/>
              </w:rPr>
              <w:t>+</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sidRPr="008E09C4">
              <w:rPr>
                <w:sz w:val="18"/>
              </w:rPr>
              <w:t>+</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29" w:type="dxa"/>
            <w:shd w:val="clear" w:color="auto" w:fill="auto"/>
          </w:tcPr>
          <w:p w:rsidR="001772D5" w:rsidRDefault="001772D5" w:rsidP="0039693C">
            <w:r>
              <w:rPr>
                <w:sz w:val="18"/>
              </w:rPr>
              <w:t>0</w:t>
            </w:r>
          </w:p>
        </w:tc>
        <w:tc>
          <w:tcPr>
            <w:tcW w:w="429" w:type="dxa"/>
          </w:tcPr>
          <w:p w:rsidR="001772D5" w:rsidRDefault="001772D5" w:rsidP="0039693C">
            <w:r>
              <w:t>+</w:t>
            </w:r>
          </w:p>
        </w:tc>
        <w:tc>
          <w:tcPr>
            <w:tcW w:w="5696" w:type="dxa"/>
            <w:shd w:val="clear" w:color="auto" w:fill="auto"/>
          </w:tcPr>
          <w:p w:rsidR="001772D5" w:rsidRDefault="001772D5" w:rsidP="003204A8">
            <w:r>
              <w:t>Policy 2.1 will lead to high quality modern employment stock across 80 Ha at Stanton North.</w:t>
            </w:r>
          </w:p>
          <w:p w:rsidR="001772D5" w:rsidRDefault="001772D5" w:rsidP="003204A8">
            <w:r>
              <w:t xml:space="preserve">The associated job creation </w:t>
            </w:r>
            <w:r w:rsidRPr="003204A8">
              <w:t>has socio economic benefits</w:t>
            </w:r>
            <w:r>
              <w:t xml:space="preserve"> in particular</w:t>
            </w:r>
            <w:r w:rsidRPr="003204A8">
              <w:t xml:space="preserve"> for those on lower incomes. </w:t>
            </w:r>
            <w:r>
              <w:t>It</w:t>
            </w:r>
            <w:r w:rsidRPr="003204A8">
              <w:t xml:space="preserve"> has the potential to positively impact on young people aged 18-21 who have higher levels of unemployment than other age groups. </w:t>
            </w:r>
            <w:r>
              <w:t>New</w:t>
            </w:r>
            <w:r w:rsidRPr="006A1DEC">
              <w:t xml:space="preserve"> industrial premises will improve access for disabled due to building control requirements on new build</w:t>
            </w:r>
            <w:r>
              <w:t>.</w:t>
            </w:r>
          </w:p>
          <w:p w:rsidR="001772D5" w:rsidRPr="00193821" w:rsidRDefault="001772D5" w:rsidP="003204A8">
            <w:r>
              <w:t>Due to its proximity to Green Infrastructure Zones and the housing development at Stanton South, policy 2.1 will lead to improved access to employment land, both using private vehicle and sustainable transport methods. The proximity to the housing development improves the potential for people to live and work within walking distance within Erewash.</w:t>
            </w:r>
          </w:p>
        </w:tc>
      </w:tr>
      <w:tr w:rsidR="001772D5" w:rsidTr="001772D5">
        <w:trPr>
          <w:cantSplit/>
          <w:trHeight w:val="2263"/>
        </w:trPr>
        <w:tc>
          <w:tcPr>
            <w:tcW w:w="1595" w:type="dxa"/>
            <w:shd w:val="clear" w:color="auto" w:fill="auto"/>
          </w:tcPr>
          <w:p w:rsidR="001772D5" w:rsidRPr="003F4713" w:rsidRDefault="001772D5" w:rsidP="0039693C">
            <w:pPr>
              <w:rPr>
                <w:b/>
              </w:rPr>
            </w:pPr>
            <w:r w:rsidRPr="003F4713">
              <w:rPr>
                <w:b/>
              </w:rPr>
              <w:t>3: Town, Local and Village Centres</w:t>
            </w:r>
          </w:p>
        </w:tc>
        <w:tc>
          <w:tcPr>
            <w:tcW w:w="2369" w:type="dxa"/>
          </w:tcPr>
          <w:p w:rsidR="001772D5" w:rsidRPr="00193821" w:rsidRDefault="001772D5" w:rsidP="0039693C">
            <w:r>
              <w:t>Identifies the Town, Local and Villages centres throughout Erewash and the uses of land within them</w:t>
            </w:r>
          </w:p>
        </w:tc>
        <w:tc>
          <w:tcPr>
            <w:tcW w:w="400" w:type="dxa"/>
            <w:shd w:val="clear" w:color="auto" w:fill="auto"/>
          </w:tcPr>
          <w:p w:rsidR="001772D5" w:rsidRPr="00193821" w:rsidRDefault="001772D5" w:rsidP="0039693C">
            <w:pPr>
              <w:rPr>
                <w:sz w:val="18"/>
              </w:rPr>
            </w:pPr>
            <w:r>
              <w:rPr>
                <w:sz w:val="18"/>
              </w:rPr>
              <w:t>+</w:t>
            </w:r>
          </w:p>
        </w:tc>
        <w:tc>
          <w:tcPr>
            <w:tcW w:w="432" w:type="dxa"/>
            <w:shd w:val="clear" w:color="auto" w:fill="auto"/>
          </w:tcPr>
          <w:p w:rsidR="001772D5" w:rsidRDefault="001772D5" w:rsidP="0039693C">
            <w:r w:rsidRPr="002F2A6A">
              <w:rPr>
                <w:sz w:val="18"/>
              </w:rPr>
              <w:t>+</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sidRPr="002F2A6A">
              <w:rPr>
                <w:sz w:val="18"/>
              </w:rPr>
              <w:t>+</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29" w:type="dxa"/>
            <w:shd w:val="clear" w:color="auto" w:fill="auto"/>
          </w:tcPr>
          <w:p w:rsidR="001772D5" w:rsidRDefault="001772D5" w:rsidP="0039693C">
            <w:r>
              <w:rPr>
                <w:sz w:val="18"/>
              </w:rPr>
              <w:t>0</w:t>
            </w:r>
          </w:p>
        </w:tc>
        <w:tc>
          <w:tcPr>
            <w:tcW w:w="429" w:type="dxa"/>
          </w:tcPr>
          <w:p w:rsidR="001772D5" w:rsidRDefault="001772D5" w:rsidP="0039693C">
            <w:r>
              <w:t>+</w:t>
            </w:r>
          </w:p>
        </w:tc>
        <w:tc>
          <w:tcPr>
            <w:tcW w:w="5696" w:type="dxa"/>
            <w:shd w:val="clear" w:color="auto" w:fill="auto"/>
          </w:tcPr>
          <w:p w:rsidR="001772D5" w:rsidRPr="00193821" w:rsidRDefault="001772D5" w:rsidP="00667769">
            <w:r>
              <w:t xml:space="preserve">The identification of a hierarchy of Town, Local and village centres supports the protection and development of their facilities and services. The provision of employment land within these centres has positive benefits for all. </w:t>
            </w:r>
            <w:r w:rsidR="00667769">
              <w:t>Residents</w:t>
            </w:r>
            <w:r>
              <w:t>, will be able to access these facilities using private, public or sustainable transport methods. Many residents of Erewash live within a reasonable travel to distance to one of these centres.</w:t>
            </w:r>
            <w:r w:rsidR="00667769">
              <w:t xml:space="preserve"> </w:t>
            </w:r>
            <w:r w:rsidR="00667769" w:rsidRPr="00667769">
              <w:t>More accessible jobs in town centres and village centre will provide more opportunities for women, who as a group have less personal mobility than men.</w:t>
            </w:r>
          </w:p>
        </w:tc>
      </w:tr>
      <w:tr w:rsidR="001772D5" w:rsidTr="001772D5">
        <w:trPr>
          <w:cantSplit/>
          <w:trHeight w:val="2235"/>
        </w:trPr>
        <w:tc>
          <w:tcPr>
            <w:tcW w:w="1595" w:type="dxa"/>
            <w:shd w:val="clear" w:color="auto" w:fill="auto"/>
          </w:tcPr>
          <w:p w:rsidR="001772D5" w:rsidRPr="003F4713" w:rsidRDefault="001772D5" w:rsidP="0039693C">
            <w:pPr>
              <w:rPr>
                <w:b/>
              </w:rPr>
            </w:pPr>
            <w:r>
              <w:rPr>
                <w:b/>
              </w:rPr>
              <w:lastRenderedPageBreak/>
              <w:t>4: Transport</w:t>
            </w:r>
          </w:p>
        </w:tc>
        <w:tc>
          <w:tcPr>
            <w:tcW w:w="2369" w:type="dxa"/>
          </w:tcPr>
          <w:p w:rsidR="001772D5" w:rsidRPr="00193821" w:rsidRDefault="001772D5" w:rsidP="0039693C">
            <w:r>
              <w:t>Sets out plans for the Kirk Hallam Relief Road, opportunities for enhancement around the Former Stanton Ironworks and further opportunities to enhance existing transport networks</w:t>
            </w:r>
          </w:p>
        </w:tc>
        <w:tc>
          <w:tcPr>
            <w:tcW w:w="400" w:type="dxa"/>
            <w:shd w:val="clear" w:color="auto" w:fill="auto"/>
          </w:tcPr>
          <w:p w:rsidR="001772D5" w:rsidRPr="00193821" w:rsidRDefault="001772D5" w:rsidP="0039693C">
            <w:pPr>
              <w:rPr>
                <w:sz w:val="18"/>
              </w:rPr>
            </w:pPr>
            <w:r>
              <w:rPr>
                <w:sz w:val="18"/>
              </w:rPr>
              <w:t>+</w:t>
            </w:r>
          </w:p>
        </w:tc>
        <w:tc>
          <w:tcPr>
            <w:tcW w:w="432" w:type="dxa"/>
            <w:shd w:val="clear" w:color="auto" w:fill="auto"/>
          </w:tcPr>
          <w:p w:rsidR="001772D5" w:rsidRDefault="001772D5" w:rsidP="0039693C">
            <w:r w:rsidRPr="00C65951">
              <w:rPr>
                <w:sz w:val="18"/>
              </w:rPr>
              <w:t>+</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sidRPr="00C65951">
              <w:rPr>
                <w:sz w:val="18"/>
              </w:rPr>
              <w:t>+</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29" w:type="dxa"/>
            <w:shd w:val="clear" w:color="auto" w:fill="auto"/>
          </w:tcPr>
          <w:p w:rsidR="001772D5" w:rsidRDefault="001772D5" w:rsidP="0039693C">
            <w:r>
              <w:rPr>
                <w:sz w:val="18"/>
              </w:rPr>
              <w:t>0</w:t>
            </w:r>
          </w:p>
        </w:tc>
        <w:tc>
          <w:tcPr>
            <w:tcW w:w="429" w:type="dxa"/>
          </w:tcPr>
          <w:p w:rsidR="001772D5" w:rsidRDefault="001772D5" w:rsidP="0039693C">
            <w:r>
              <w:t>+</w:t>
            </w:r>
          </w:p>
        </w:tc>
        <w:tc>
          <w:tcPr>
            <w:tcW w:w="5696" w:type="dxa"/>
            <w:shd w:val="clear" w:color="auto" w:fill="auto"/>
          </w:tcPr>
          <w:p w:rsidR="001772D5" w:rsidRPr="00193821" w:rsidRDefault="001772D5" w:rsidP="00EA2C95">
            <w:r>
              <w:t xml:space="preserve">Enhancements to the existing road network, alongside the addition of new strategic road network, will benefit all residents of Erewash. Residents who live close to Kirk Hallam will have a new road to access the wider network, relieving pressure on the existing infrastructure. Improvements to walking and cycle networks will allow for more sustainable journeys to be made throughout the Borough, reducing the need for private vehicle ownership for shorter journeys. </w:t>
            </w:r>
          </w:p>
        </w:tc>
      </w:tr>
      <w:tr w:rsidR="001772D5" w:rsidTr="001772D5">
        <w:trPr>
          <w:cantSplit/>
          <w:trHeight w:val="2235"/>
        </w:trPr>
        <w:tc>
          <w:tcPr>
            <w:tcW w:w="1595" w:type="dxa"/>
            <w:shd w:val="clear" w:color="auto" w:fill="auto"/>
          </w:tcPr>
          <w:p w:rsidR="001772D5" w:rsidRDefault="001772D5" w:rsidP="000C1AF1">
            <w:pPr>
              <w:rPr>
                <w:b/>
              </w:rPr>
            </w:pPr>
            <w:r>
              <w:rPr>
                <w:b/>
              </w:rPr>
              <w:t xml:space="preserve">5: Green Infrastructure </w:t>
            </w:r>
          </w:p>
        </w:tc>
        <w:tc>
          <w:tcPr>
            <w:tcW w:w="2369" w:type="dxa"/>
          </w:tcPr>
          <w:p w:rsidR="001772D5" w:rsidRPr="00193821" w:rsidRDefault="001772D5" w:rsidP="0039693C">
            <w:r>
              <w:t>Sets out four Green Infrastructure Zones across the Borough and outlines their provisions.</w:t>
            </w:r>
          </w:p>
        </w:tc>
        <w:tc>
          <w:tcPr>
            <w:tcW w:w="400" w:type="dxa"/>
            <w:shd w:val="clear" w:color="auto" w:fill="auto"/>
          </w:tcPr>
          <w:p w:rsidR="001772D5" w:rsidRPr="00193821" w:rsidRDefault="001772D5" w:rsidP="0039693C">
            <w:pPr>
              <w:rPr>
                <w:sz w:val="18"/>
              </w:rPr>
            </w:pPr>
            <w:r>
              <w:rPr>
                <w:sz w:val="18"/>
              </w:rPr>
              <w:t>+</w:t>
            </w:r>
          </w:p>
        </w:tc>
        <w:tc>
          <w:tcPr>
            <w:tcW w:w="432"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sidRPr="00415B41">
              <w:rPr>
                <w:sz w:val="18"/>
              </w:rPr>
              <w:t>+</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33" w:type="dxa"/>
            <w:shd w:val="clear" w:color="auto" w:fill="auto"/>
          </w:tcPr>
          <w:p w:rsidR="001772D5" w:rsidRDefault="001772D5" w:rsidP="0039693C">
            <w:r>
              <w:rPr>
                <w:sz w:val="18"/>
              </w:rPr>
              <w:t>0</w:t>
            </w:r>
          </w:p>
        </w:tc>
        <w:tc>
          <w:tcPr>
            <w:tcW w:w="429" w:type="dxa"/>
            <w:shd w:val="clear" w:color="auto" w:fill="auto"/>
          </w:tcPr>
          <w:p w:rsidR="001772D5" w:rsidRDefault="001772D5" w:rsidP="0039693C">
            <w:r>
              <w:rPr>
                <w:sz w:val="18"/>
              </w:rPr>
              <w:t>0</w:t>
            </w:r>
          </w:p>
        </w:tc>
        <w:tc>
          <w:tcPr>
            <w:tcW w:w="429" w:type="dxa"/>
          </w:tcPr>
          <w:p w:rsidR="001772D5" w:rsidRDefault="001772D5" w:rsidP="0039693C">
            <w:r>
              <w:t>+</w:t>
            </w:r>
          </w:p>
        </w:tc>
        <w:tc>
          <w:tcPr>
            <w:tcW w:w="5696" w:type="dxa"/>
            <w:shd w:val="clear" w:color="auto" w:fill="auto"/>
          </w:tcPr>
          <w:p w:rsidR="001772D5" w:rsidRPr="00193821" w:rsidRDefault="001772D5" w:rsidP="0039693C">
            <w:r>
              <w:t>The protection and enhancement of the</w:t>
            </w:r>
            <w:r w:rsidR="00D45510">
              <w:t xml:space="preserve"> four Green Infrastructure corridors</w:t>
            </w:r>
            <w:r>
              <w:t xml:space="preserve"> will provide accessible recreational spaces and sustainable alternatives to a private vehicle for all. </w:t>
            </w:r>
          </w:p>
        </w:tc>
      </w:tr>
    </w:tbl>
    <w:p w:rsidR="006B1891" w:rsidRDefault="00F018B1" w:rsidP="0039693C"/>
    <w:sectPr w:rsidR="006B1891" w:rsidSect="00FD52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D2F9C"/>
    <w:multiLevelType w:val="hybridMultilevel"/>
    <w:tmpl w:val="5434C164"/>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 w15:restartNumberingAfterBreak="0">
    <w:nsid w:val="555263CC"/>
    <w:multiLevelType w:val="hybridMultilevel"/>
    <w:tmpl w:val="CB28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6E"/>
    <w:rsid w:val="00037641"/>
    <w:rsid w:val="00087BAB"/>
    <w:rsid w:val="000C1AF1"/>
    <w:rsid w:val="000D1047"/>
    <w:rsid w:val="00130813"/>
    <w:rsid w:val="0014168B"/>
    <w:rsid w:val="00175695"/>
    <w:rsid w:val="001772D5"/>
    <w:rsid w:val="00193821"/>
    <w:rsid w:val="001D3166"/>
    <w:rsid w:val="001E6049"/>
    <w:rsid w:val="00201327"/>
    <w:rsid w:val="00244B7E"/>
    <w:rsid w:val="002C549C"/>
    <w:rsid w:val="002D3E0E"/>
    <w:rsid w:val="003152AB"/>
    <w:rsid w:val="003204A8"/>
    <w:rsid w:val="003322BE"/>
    <w:rsid w:val="00356291"/>
    <w:rsid w:val="00360ABB"/>
    <w:rsid w:val="00385CB2"/>
    <w:rsid w:val="0039693C"/>
    <w:rsid w:val="003C16A2"/>
    <w:rsid w:val="003C1A38"/>
    <w:rsid w:val="003C3964"/>
    <w:rsid w:val="003F4713"/>
    <w:rsid w:val="00434772"/>
    <w:rsid w:val="005765D8"/>
    <w:rsid w:val="00576B64"/>
    <w:rsid w:val="005F7BB8"/>
    <w:rsid w:val="006271B0"/>
    <w:rsid w:val="006319D6"/>
    <w:rsid w:val="00646D3A"/>
    <w:rsid w:val="00667769"/>
    <w:rsid w:val="006B06E0"/>
    <w:rsid w:val="006C0EEA"/>
    <w:rsid w:val="006E3E21"/>
    <w:rsid w:val="00711319"/>
    <w:rsid w:val="007D4225"/>
    <w:rsid w:val="008C4E49"/>
    <w:rsid w:val="00911A42"/>
    <w:rsid w:val="0091344D"/>
    <w:rsid w:val="00944909"/>
    <w:rsid w:val="0099534C"/>
    <w:rsid w:val="009A5DA1"/>
    <w:rsid w:val="009C59CC"/>
    <w:rsid w:val="009D26DA"/>
    <w:rsid w:val="00A77C84"/>
    <w:rsid w:val="00A87139"/>
    <w:rsid w:val="00BB06D4"/>
    <w:rsid w:val="00C0227F"/>
    <w:rsid w:val="00C5362A"/>
    <w:rsid w:val="00CB7C51"/>
    <w:rsid w:val="00CD1BCE"/>
    <w:rsid w:val="00CD69B5"/>
    <w:rsid w:val="00CE64AC"/>
    <w:rsid w:val="00D425BA"/>
    <w:rsid w:val="00D45510"/>
    <w:rsid w:val="00D51DEE"/>
    <w:rsid w:val="00D96217"/>
    <w:rsid w:val="00DA75E0"/>
    <w:rsid w:val="00DC45B1"/>
    <w:rsid w:val="00E13575"/>
    <w:rsid w:val="00E311B7"/>
    <w:rsid w:val="00EA2C95"/>
    <w:rsid w:val="00EB268F"/>
    <w:rsid w:val="00EC1C1E"/>
    <w:rsid w:val="00EC76A5"/>
    <w:rsid w:val="00F018B1"/>
    <w:rsid w:val="00F069EE"/>
    <w:rsid w:val="00F75F44"/>
    <w:rsid w:val="00FA0B97"/>
    <w:rsid w:val="00FD526E"/>
    <w:rsid w:val="00FF5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3EB0C-9B9F-4534-9857-294D0767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2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1C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2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C1C1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271B0"/>
    <w:pPr>
      <w:ind w:left="720"/>
      <w:contextualSpacing/>
    </w:pPr>
  </w:style>
  <w:style w:type="paragraph" w:styleId="NoSpacing">
    <w:name w:val="No Spacing"/>
    <w:uiPriority w:val="1"/>
    <w:qFormat/>
    <w:rsid w:val="009C59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16E35-C1B4-4A16-A887-822B880E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1485</Words>
  <Characters>8467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Erewash Borough Council</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Poxon</dc:creator>
  <cp:keywords/>
  <dc:description/>
  <cp:lastModifiedBy>Oliver Dove</cp:lastModifiedBy>
  <cp:revision>2</cp:revision>
  <dcterms:created xsi:type="dcterms:W3CDTF">2022-11-24T16:14:00Z</dcterms:created>
  <dcterms:modified xsi:type="dcterms:W3CDTF">2022-11-24T16:14:00Z</dcterms:modified>
</cp:coreProperties>
</file>